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7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Kairos Pharma,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6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A_edei--EntityFileNumber_c20260715"/>
            <w:bookmarkEnd w:id="6"/>
            <w:r>
              <w:rPr>
                <w:rFonts w:ascii="Times New Roman;Times;Serif" w:hAnsi="Times New Roman;Times;Serif"/>
                <w:b w:val="false"/>
                <w:i w:val="false"/>
                <w:caps w:val="false"/>
                <w:smallCaps w:val="false"/>
                <w:sz w:val="20"/>
              </w:rPr>
              <w:t>001-42275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7_edei--EntityTaxIdentificationNum"/>
            <w:bookmarkEnd w:id="7"/>
            <w:r>
              <w:rPr>
                <w:rFonts w:ascii="Times New Roman;Times;Serif" w:hAnsi="Times New Roman;Times;Serif"/>
                <w:b w:val="false"/>
                <w:i w:val="false"/>
                <w:caps w:val="false"/>
                <w:smallCaps w:val="false"/>
                <w:sz w:val="20"/>
              </w:rPr>
              <w:t>46-2993314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val="false"/>
          <w:i w:val="false"/>
          <w:caps w:val="false"/>
          <w:smallCaps w:val="false"/>
          <w:sz w:val="20"/>
        </w:rPr>
        <w:t xml:space="preserve">2355 Westwood Blvd, </w:t>
      </w:r>
      <w:bookmarkStart w:id="9" w:name="xdx_909_edei--EntityAddressAddressLine2_"/>
      <w:bookmarkEnd w:id="9"/>
      <w:r>
        <w:rPr>
          <w:rFonts w:ascii="Times New Roman;Times;Serif" w:hAnsi="Times New Roman;Times;Serif"/>
          <w:b w:val="false"/>
          <w:i w:val="false"/>
          <w:caps w:val="false"/>
          <w:smallCaps w:val="false"/>
          <w:sz w:val="20"/>
        </w:rPr>
        <w:t>#139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1_edei--EntityAddressCityOrTown_c2"/>
      <w:bookmarkEnd w:id="10"/>
      <w:r>
        <w:rPr>
          <w:rFonts w:ascii="Times New Roman;Times;Serif" w:hAnsi="Times New Roman;Times;Serif"/>
          <w:b w:val="false"/>
          <w:i w:val="false"/>
          <w:caps w:val="false"/>
          <w:smallCaps w:val="false"/>
          <w:sz w:val="20"/>
        </w:rPr>
        <w:t xml:space="preserve">Los Angeles, </w:t>
      </w:r>
      <w:bookmarkStart w:id="11" w:name="xdx_908_edei--EntityAddressStateOrProvin"/>
      <w:bookmarkEnd w:id="11"/>
      <w:r>
        <w:rPr>
          <w:rFonts w:ascii="Times New Roman;Times;Serif" w:hAnsi="Times New Roman;Times;Serif"/>
          <w:b w:val="false"/>
          <w:i w:val="false"/>
          <w:caps w:val="false"/>
          <w:smallCaps w:val="false"/>
          <w:sz w:val="20"/>
        </w:rPr>
        <w:t xml:space="preserve">CA </w:t>
      </w:r>
      <w:bookmarkStart w:id="12" w:name="xdx_907_edei--EntityAddressPostalZipCode"/>
      <w:bookmarkEnd w:id="12"/>
      <w:r>
        <w:rPr>
          <w:rFonts w:ascii="Times New Roman;Times;Serif" w:hAnsi="Times New Roman;Times;Serif"/>
          <w:b w:val="false"/>
          <w:i w:val="false"/>
          <w:caps w:val="false"/>
          <w:smallCaps w:val="false"/>
          <w:sz w:val="20"/>
        </w:rPr>
        <w:t>90064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F_edei--CityAreaCode_c20260715__20"/>
      <w:bookmarkEnd w:id="13"/>
      <w:r>
        <w:rPr>
          <w:rFonts w:ascii="Times New Roman;Times;Serif" w:hAnsi="Times New Roman;Times;Serif"/>
          <w:b w:val="false"/>
          <w:i w:val="false"/>
          <w:caps w:val="false"/>
          <w:smallCaps w:val="false"/>
          <w:sz w:val="20"/>
        </w:rPr>
        <w:t xml:space="preserve">(310) </w:t>
      </w:r>
      <w:bookmarkStart w:id="14" w:name="xdx_906_edei--LocalPhoneNumber_c20260715"/>
      <w:bookmarkEnd w:id="14"/>
      <w:r>
        <w:rPr>
          <w:rFonts w:ascii="Times New Roman;Times;Serif" w:hAnsi="Times New Roman;Times;Serif"/>
          <w:b w:val="false"/>
          <w:i w:val="false"/>
          <w:caps w:val="false"/>
          <w:smallCaps w:val="false"/>
          <w:sz w:val="20"/>
        </w:rPr>
        <w:t>948-2356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9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2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60715"/>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60715__2"/>
            <w:bookmarkEnd w:id="20"/>
            <w:r>
              <w:rPr>
                <w:rFonts w:ascii="Times New Roman;Times;Serif" w:hAnsi="Times New Roman;Times;Serif"/>
                <w:b w:val="false"/>
                <w:i w:val="false"/>
                <w:caps w:val="false"/>
                <w:smallCaps w:val="false"/>
                <w:sz w:val="20"/>
              </w:rPr>
              <w:t>KAPA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ExchangeName_c2026"/>
            <w:bookmarkEnd w:id="21"/>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B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Kairos Pharma, Ltd. (the “Company”) issued a press release reporting interim safety data from the Company’s ongoing Phase 1 clinical trial evaluating ENV-105 (Carotuximab), in combination with osimertinib, in patients with advanced EGFR-mutated non-small cell lung cancer. A copy of the press release is furnished herewith as 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15,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730"/>
        <w:gridCol w:w="590"/>
        <w:gridCol w:w="195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15,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612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612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Reports Breakthrough Interim Safety Data in Phase 1 Trial of ENV-105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EGFR-Mutated Lung Cancer Patients — Targeting a $10 Billion Drug Resistance Market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Zero Grade 3+ Toxicities associated with ENV-105 in 13 Patients; ENV-105 (Carotuximab) Demonstrates Clean Safety Profile in Combination with Osimertinib (AstraZeneca’s Tagrisso®) — Advancing Kairos’s Mission to Resensitize the Largest Unmet Need Population in Lung Cancer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 July 15, 2026 — Kairos Pharma, Ltd. (NYSE American: KAPA), a clinical-stage biopharmaceutical company addressing drug resistance in cancer, today announced compelling interim safety data from its ongoing Phase 1 clinical trial evaluating ENV-105 (carotuximab) in combination with osimertinib (AstraZeneca’s Tagrisso®) in patients with advanced EGFR-mutated non-small cell lung cancer (NSCLC). The data represent a pivotal milestone in Kairos Pharma’s lead program: resensitizing patients who have acquired resistance to osimertinib, the global standard-of-care for EGFR-mutated NSCLC. With no serious adverse events (Grade 3 or higher) observed across 13 treated patients to date from ENV-105 treatment, the safety profile supports continued progression toward an early efficacy readout.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Non-small cell lung cancer is the dominant form of lung cancer, accounting for approximately 85% of all lung cancer diagnoses globally. Within NSCLC, EGFR-mutated patients represent the most commercially important and genetically actionable subpopulation. The EGFR-NSCLC market alone is valued at approximately $10 billion across leading current markets, growing at a CAGR of 10.5%, projected to be over $13 billion by 2030.</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Osimertinib (Tagrisso®) is the gold-standard, first-line therapy for this patient population with about $6 billion in sales annually.</w:t>
      </w:r>
      <w:r>
        <w:rPr>
          <w:rFonts w:ascii="Times New Roman;Times;Serif" w:hAnsi="Times New Roman;Times;Serif"/>
          <w:b w:val="false"/>
          <w:i w:val="false"/>
          <w:caps w:val="false"/>
          <w:smallCaps w:val="false"/>
          <w:position w:val="7"/>
          <w:sz w:val="16"/>
          <w:sz w:val="20"/>
        </w:rPr>
        <w:t>4,5</w:t>
      </w:r>
      <w:r>
        <w:rPr>
          <w:rFonts w:ascii="Times New Roman;Times;Serif" w:hAnsi="Times New Roman;Times;Serif"/>
          <w:b w:val="false"/>
          <w:i w:val="false"/>
          <w:caps w:val="false"/>
          <w:smallCaps w:val="false"/>
          <w:sz w:val="20"/>
        </w:rPr>
        <w:t xml:space="preserve"> Despite osimertinib’s initial efficacy, resistance to the drug is inevitable. Once a patient progresses on osimertinib, therapeutic options are limited with a significant clinical setback with inferior survival outcomes. Currently, there is no FDA-approved agent specifically designed to reverse or overcome osimertinib resistance and restore drug sensitivity.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Pharma’s scientific thesis is grounded in a precision oncology insight of restoring sensitivity to standard of care cancer therapies. CD105 (endoglin) is pathologically elevated in patients who develop osimertinib resistance, and its overexpression drives one of the core resistance signaling pathways.</w:t>
      </w:r>
      <w:r>
        <w:rPr>
          <w:rFonts w:ascii="Times New Roman;Times;Serif" w:hAnsi="Times New Roman;Times;Serif"/>
          <w:b w:val="false"/>
          <w:i w:val="false"/>
          <w:caps w:val="false"/>
          <w:smallCaps w:val="false"/>
          <w:position w:val="7"/>
          <w:sz w:val="16"/>
          <w:sz w:val="20"/>
        </w:rPr>
        <w:t>6, 7</w:t>
      </w:r>
      <w:r>
        <w:rPr>
          <w:rFonts w:ascii="Times New Roman;Times;Serif" w:hAnsi="Times New Roman;Times;Serif"/>
          <w:b w:val="false"/>
          <w:i w:val="false"/>
          <w:caps w:val="false"/>
          <w:smallCaps w:val="false"/>
          <w:sz w:val="20"/>
        </w:rPr>
        <w:t xml:space="preserve"> ENV-105 (carotuximab) is a first-in-class CD105 antibody that blocks the signaling of this overexpressed protein, mechanistically dismantling the resistance phenotype and creating the biological conditions for osimertinib sensitivity. This strategy support extending progression-free survival, preserving quality of life, and fundamentally increasing the clinical utility of the world’s most prescribed EGFR-targeted therapy. If successful, ENV-105 would not compete with osimertinib — it would extend its commercial life across the entire EGFR-mutated patient population.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goal is not simply to complete a Phase 1 trial; it is to deliver a resensitization solution that changes the post-progression treatment paradigm and positions Kairos as the essential complement to the EGFR-targeted therapy market with this clean safety profile now confirmed across 13 patients” said Dr. John Yu, Chief Executive Officer of Kairos Pharma.</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scientific rationale for targeting CD105 is well-established: CD105 is a validated driver of resistance and disease relapse across multiple cancer types, including EGFR-driven NSCLC, and pre-clinical models have already confirmed ENV-105’s capacity to sensitize tumors to both radiation and hormone therapy. Critically, ENV-105’s clinical validation extends beyond lung cancer with an ongoing Phase 2 trial for castrate-resistant prostate cancer, ENV-105 delivered median progression-free survival exceeding 13 months, a significant improvement over standard of care. We believe that this demonstrated that the CD105 suppression mechanism translates into durable clinical benefit across fundamentally different tumor types and resistance contexts.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ENV-105 continues to be extremely well tolerated, now across two very different indications,” said Dr. Neil Bhowmick, Chief Science Officer of Kairos Pharma. “As we continue to showcase ENV-105’s potential for targeting drug resistance, this data is another important milestone in achieving our goal to ultimately provide better patient care over a longer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Phase 1 Safety Data: Clinical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safety analysis of the Phase 1 trial evaluating ENV-105 + osimertinib in EGFR-mutated advanced NSCLC patients demonstrates a clean early safety profile in the 13 patients treated with combination therapy. The trial is intended to assess safety, tolerability, and recommended Phase 2 dose, with adverse events evaluated under Common Terminology Criteria for Adverse Events (CTCAE) 5.0 and dose-limiting toxicities monitored during the initial treatment cycles. All side effects were manageable with standard supportive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Kairos Pharma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in Los Angeles, California, Kairos Pharma Ltd. (NYSE American: KAPA) is at the forefront of oncology therapeutics, utilizing structural biology to overcome drug resistance and immune suppression in cancer. Kairos Pharma’s lead candidate, ENV-105 (carotuximab), is an antibody targeting CD105 — a protein identified as a key driver of resistance and disease relapse in response to standard cancer therapy. ENV-105 aims to reverse drug resistance by targeting CD105 and restore the effectiveness of standard therapies across multiple cancer types. For more information, visit </w:t>
      </w:r>
      <w:r>
        <w:rPr>
          <w:rFonts w:ascii="Times New Roman;Times;Serif" w:hAnsi="Times New Roman;Times;Serif"/>
          <w:b w:val="false"/>
          <w:i w:val="false"/>
          <w:caps w:val="false"/>
          <w:smallCaps w:val="false"/>
          <w:sz w:val="20"/>
          <w:u w:val="single"/>
        </w:rPr>
        <w:t>kairospharma.com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Concerning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as defined in the Private Securities Litigation Reform Act of 1995. Forward-looking statements are identified by terminology such as “may,” “should,” “expects,” “anticipates,” “contemplates,” “estimates,” “believes,” “plans,” “projected,” “predicts,” “potential,” or “hopes,” or the negative of these or similar terms. Actual results could vary materially from expectations and projections of Kairos Pharma if underlying assumptions prove inaccurate or if known or unknown risks or uncertainties materialize. Risk factors include but are not limited to: success and/or completion of Phase 1 and Phase 2 clinical trials; challenges inherent in product research and development; uncertainty regarding future regulatory approval and commercial success; and other factors described in Kairos Pharma’s SEC filings, including its Annual Report on Form 10-K and Quarterly Reports on Form 10-Q. Kairos Pharma is not obligated to update any forward-looking statement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CORE IR | </w:t>
      </w:r>
      <w:r>
        <w:rPr>
          <w:rFonts w:ascii="Times New Roman;Times;Serif" w:hAnsi="Times New Roman;Times;Serif"/>
          <w:b w:val="false"/>
          <w:i w:val="false"/>
          <w:caps w:val="false"/>
          <w:smallCaps w:val="false"/>
          <w:sz w:val="20"/>
          <w:u w:val="single"/>
        </w:rPr>
        <w:t>investors@kairospharma.com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EGFR-NSCLC Market Size Analysis Report 2036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EGFR Non-Small Cell Lung Cancer Market Report 2026</w:t>
            </w:r>
            <w:r>
              <w:rPr>
                <w:rFonts w:ascii="Times New Roman;Times;Serif" w:hAnsi="Times New Roman;Times;Serif"/>
                <w:b w:val="false"/>
                <w:i w:val="false"/>
                <w:caps w:val="false"/>
                <w:smallCaps w:val="false"/>
                <w:sz w:val="20"/>
              </w:rPr>
              <w:t>. Research and Markets. https://www.researchandmarkets.com/reports/6231386/egfr-non-small-cell-lung-cancer-market-report?utm_source=chatgpt.com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Epidermal Growth Factor Receptor (EGFR) Inhibitors Market Forecasts to 2030 – Global Analysis By Type (Monoclonal Antibodies (mAbs), Tyrosine Kinase Inhibitors (TKIs), Combination Therapies and Other Types), Drug Type, Mode of Administration, Distribution</w:t>
            </w:r>
            <w:r>
              <w:rPr>
                <w:rFonts w:ascii="Times New Roman;Times;Serif" w:hAnsi="Times New Roman;Times;Serif"/>
                <w:b w:val="false"/>
                <w:i w:val="false"/>
                <w:caps w:val="false"/>
                <w:smallCaps w:val="false"/>
                <w:sz w:val="20"/>
              </w:rPr>
              <w:t>. Market Research.com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Osimertinib As First-Line Treatment of EGFR Mutation–Positive Advanced Non–Small-Cell Lung Cancer (https://ascopubs.org/doi/10.1200/JCO.2017.74.7576) - PurposeThe AURA study (ClinicalTrials.gov identifier: NCT01802632) included two cohorts of treatment...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AstraZeneca results</w:t>
            </w:r>
            <w:r>
              <w:rPr>
                <w:rFonts w:ascii="Times New Roman;Times;Serif" w:hAnsi="Times New Roman;Times;Serif"/>
                <w:b w:val="false"/>
                <w:i w:val="false"/>
                <w:caps w:val="false"/>
                <w:smallCaps w:val="false"/>
                <w:sz w:val="20"/>
              </w:rPr>
              <w:t>. Continued strong commercial performance and unprecedented pipeline delivery in the year to date. https://data.fca.org.uk/artefacts/NSM/RNS/f0e08565-612c-442e-91ff-2d622ae9a7d9.html?utm_source=chatgpt.com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Osimertinib in EGFR-Mutated Lung Cancer</w:t>
            </w:r>
            <w:r>
              <w:rPr>
                <w:rFonts w:ascii="Times New Roman;Times;Serif" w:hAnsi="Times New Roman;Times;Serif"/>
                <w:b w:val="false"/>
                <w:i w:val="false"/>
                <w:caps w:val="false"/>
                <w:smallCaps w:val="false"/>
                <w:sz w:val="20"/>
              </w:rPr>
              <w:t>: A Review of the Existing and Emerging Clinical Data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CD105 blockade restores osimertinib sensitivity in drug-resistant EGFR-mutant non-small cell lung cancer</w:t>
            </w:r>
            <w:r>
              <w:rPr>
                <w:rFonts w:ascii="Times New Roman;Times;Serif" w:hAnsi="Times New Roman;Times;Serif"/>
                <w:b w:val="false"/>
                <w:i w:val="false"/>
                <w:caps w:val="false"/>
                <w:smallCaps w:val="false"/>
                <w:sz w:val="20"/>
              </w:rPr>
              <w:t>. https://www.sciencedirect.com/science/article/pii/S1368764625000378</w:t>
            </w:r>
          </w:p>
        </w:tc>
      </w:tr>
    </w:tbl>
    <w:p>
      <w:pPr>
        <w:pStyle w:val="TextBody"/>
        <w:bidi w:val="0"/>
        <w:spacing w:before="0" w:after="0"/>
        <w:ind w:left="54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1608</Words>
  <Characters>10013</Characters>
  <CharactersWithSpaces>11621</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