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266065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May 18, 2026</w:t>
      </w:r>
    </w:p>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Kairos Pharma, Ltd.</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8" w:lineRule="exact"/>
        <w:rPr>
          <w:sz w:val="24"/>
          <w:szCs w:val="24"/>
          <w:color w:val="auto"/>
        </w:rPr>
      </w:pPr>
    </w:p>
    <w:tbl>
      <w:tblPr>
        <w:tblLayout w:type="fixed"/>
        <w:tblInd w:w="1168" w:type="dxa"/>
        <w:tblCellMar>
          <w:top w:w="0" w:type="dxa"/>
          <w:left w:w="0" w:type="dxa"/>
          <w:bottom w:w="0" w:type="dxa"/>
          <w:right w:w="0" w:type="dxa"/>
        </w:tblCellMar>
      </w:tblPr>
      <w:tr>
        <w:trPr>
          <w:trHeight w:val="144"/>
        </w:trPr>
        <w:tc>
          <w:tcPr>
            <w:tcW w:w="2260" w:type="dxa"/>
            <w:vAlign w:val="bottom"/>
          </w:tcPr>
          <w:p>
            <w:pPr>
              <w:jc w:val="center"/>
              <w:ind w:right="900"/>
              <w:spacing w:after="0"/>
              <w:rPr>
                <w:sz w:val="20"/>
                <w:szCs w:val="20"/>
                <w:color w:val="auto"/>
              </w:rPr>
            </w:pPr>
            <w:r>
              <w:rPr>
                <w:rFonts w:ascii="Times New Roman" w:cs="Times New Roman" w:eastAsia="Times New Roman" w:hAnsi="Times New Roman"/>
                <w:sz w:val="12"/>
                <w:szCs w:val="12"/>
                <w:color w:val="auto"/>
                <w:w w:val="99"/>
              </w:rPr>
              <w:t>Delaware</w:t>
            </w:r>
          </w:p>
        </w:tc>
        <w:tc>
          <w:tcPr>
            <w:tcW w:w="4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001-42275</w:t>
            </w:r>
          </w:p>
        </w:tc>
        <w:tc>
          <w:tcPr>
            <w:tcW w:w="198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9"/>
              </w:rPr>
              <w:t>46-2993314</w:t>
            </w:r>
          </w:p>
        </w:tc>
      </w:tr>
      <w:tr>
        <w:trPr>
          <w:trHeight w:val="144"/>
        </w:trPr>
        <w:tc>
          <w:tcPr>
            <w:tcW w:w="2260" w:type="dxa"/>
            <w:vAlign w:val="bottom"/>
          </w:tcPr>
          <w:p>
            <w:pPr>
              <w:jc w:val="center"/>
              <w:ind w:right="92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45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(Commission</w:t>
            </w:r>
          </w:p>
        </w:tc>
        <w:tc>
          <w:tcPr>
            <w:tcW w:w="198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2260" w:type="dxa"/>
            <w:vAlign w:val="bottom"/>
          </w:tcPr>
          <w:p>
            <w:pPr>
              <w:jc w:val="center"/>
              <w:ind w:right="92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45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File Number)</w:t>
            </w:r>
          </w:p>
        </w:tc>
        <w:tc>
          <w:tcPr>
            <w:tcW w:w="198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2260" w:type="dxa"/>
            <w:vAlign w:val="bottom"/>
          </w:tcPr>
          <w:p>
            <w:pPr>
              <w:spacing w:after="0"/>
              <w:rPr>
                <w:sz w:val="23"/>
                <w:szCs w:val="23"/>
                <w:color w:val="auto"/>
              </w:rPr>
            </w:pPr>
          </w:p>
        </w:tc>
        <w:tc>
          <w:tcPr>
            <w:tcW w:w="45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2355 Westwood Blvd., #139</w:t>
            </w:r>
          </w:p>
        </w:tc>
        <w:tc>
          <w:tcPr>
            <w:tcW w:w="1980" w:type="dxa"/>
            <w:vAlign w:val="bottom"/>
          </w:tcPr>
          <w:p>
            <w:pPr>
              <w:spacing w:after="0"/>
              <w:rPr>
                <w:sz w:val="23"/>
                <w:szCs w:val="23"/>
                <w:color w:val="auto"/>
              </w:rPr>
            </w:pPr>
          </w:p>
        </w:tc>
      </w:tr>
      <w:tr>
        <w:trPr>
          <w:trHeight w:val="148"/>
        </w:trPr>
        <w:tc>
          <w:tcPr>
            <w:tcW w:w="2260" w:type="dxa"/>
            <w:vAlign w:val="bottom"/>
          </w:tcPr>
          <w:p>
            <w:pPr>
              <w:spacing w:after="0"/>
              <w:rPr>
                <w:sz w:val="12"/>
                <w:szCs w:val="12"/>
                <w:color w:val="auto"/>
              </w:rPr>
            </w:pPr>
          </w:p>
        </w:tc>
        <w:tc>
          <w:tcPr>
            <w:tcW w:w="45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Los Angeles CA 90064</w:t>
            </w:r>
          </w:p>
        </w:tc>
        <w:tc>
          <w:tcPr>
            <w:tcW w:w="1980" w:type="dxa"/>
            <w:vAlign w:val="bottom"/>
          </w:tcPr>
          <w:p>
            <w:pPr>
              <w:spacing w:after="0"/>
              <w:rPr>
                <w:sz w:val="12"/>
                <w:szCs w:val="12"/>
                <w:color w:val="auto"/>
              </w:rPr>
            </w:pPr>
          </w:p>
        </w:tc>
      </w:tr>
      <w:tr>
        <w:trPr>
          <w:trHeight w:val="155"/>
        </w:trPr>
        <w:tc>
          <w:tcPr>
            <w:tcW w:w="2260" w:type="dxa"/>
            <w:vAlign w:val="bottom"/>
          </w:tcPr>
          <w:p>
            <w:pPr>
              <w:spacing w:after="0"/>
              <w:rPr>
                <w:sz w:val="13"/>
                <w:szCs w:val="13"/>
                <w:color w:val="auto"/>
              </w:rPr>
            </w:pPr>
          </w:p>
        </w:tc>
        <w:tc>
          <w:tcPr>
            <w:tcW w:w="45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(Address of principal executive offices) (Zip Code)</w:t>
            </w:r>
          </w:p>
        </w:tc>
        <w:tc>
          <w:tcPr>
            <w:tcW w:w="1980" w:type="dxa"/>
            <w:vAlign w:val="bottom"/>
          </w:tcPr>
          <w:p>
            <w:pPr>
              <w:spacing w:after="0"/>
              <w:rPr>
                <w:sz w:val="13"/>
                <w:szCs w:val="13"/>
                <w:color w:val="auto"/>
              </w:rPr>
            </w:pPr>
          </w:p>
        </w:tc>
      </w:tr>
      <w:tr>
        <w:trPr>
          <w:trHeight w:val="277"/>
        </w:trPr>
        <w:tc>
          <w:tcPr>
            <w:tcW w:w="2260" w:type="dxa"/>
            <w:vAlign w:val="bottom"/>
          </w:tcPr>
          <w:p>
            <w:pPr>
              <w:spacing w:after="0"/>
              <w:rPr>
                <w:sz w:val="24"/>
                <w:szCs w:val="24"/>
                <w:color w:val="auto"/>
              </w:rPr>
            </w:pPr>
          </w:p>
        </w:tc>
        <w:tc>
          <w:tcPr>
            <w:tcW w:w="45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(310) 948-2356</w:t>
            </w:r>
          </w:p>
        </w:tc>
        <w:tc>
          <w:tcPr>
            <w:tcW w:w="1980" w:type="dxa"/>
            <w:vAlign w:val="bottom"/>
          </w:tcPr>
          <w:p>
            <w:pPr>
              <w:spacing w:after="0"/>
              <w:rPr>
                <w:sz w:val="24"/>
                <w:szCs w:val="24"/>
                <w:color w:val="auto"/>
              </w:rPr>
            </w:pPr>
          </w:p>
        </w:tc>
      </w:tr>
      <w:tr>
        <w:trPr>
          <w:trHeight w:val="155"/>
        </w:trPr>
        <w:tc>
          <w:tcPr>
            <w:tcW w:w="2260" w:type="dxa"/>
            <w:vAlign w:val="bottom"/>
          </w:tcPr>
          <w:p>
            <w:pPr>
              <w:spacing w:after="0"/>
              <w:rPr>
                <w:sz w:val="13"/>
                <w:szCs w:val="13"/>
                <w:color w:val="auto"/>
              </w:rPr>
            </w:pPr>
          </w:p>
        </w:tc>
        <w:tc>
          <w:tcPr>
            <w:tcW w:w="45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1980" w:type="dxa"/>
            <w:vAlign w:val="bottom"/>
          </w:tcPr>
          <w:p>
            <w:pPr>
              <w:spacing w:after="0"/>
              <w:rPr>
                <w:sz w:val="13"/>
                <w:szCs w:val="13"/>
                <w:color w:val="auto"/>
              </w:rPr>
            </w:pPr>
          </w:p>
        </w:tc>
      </w:tr>
    </w:tbl>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497" w:lineRule="auto"/>
        <w:tabs>
          <w:tab w:leader="none" w:pos="22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5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Trading Symbol (s)</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20" w:type="dxa"/>
            <w:vAlign w:val="bottom"/>
          </w:tcPr>
          <w:p>
            <w:pPr>
              <w:spacing w:after="0"/>
              <w:rPr>
                <w:sz w:val="12"/>
                <w:szCs w:val="12"/>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KAPA</w:t>
            </w:r>
          </w:p>
        </w:tc>
        <w:tc>
          <w:tcPr>
            <w:tcW w:w="220" w:type="dxa"/>
            <w:vAlign w:val="bottom"/>
          </w:tcPr>
          <w:p>
            <w:pPr>
              <w:spacing w:after="0"/>
              <w:rPr>
                <w:sz w:val="12"/>
                <w:szCs w:val="12"/>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NYSE American</w:t>
            </w:r>
          </w:p>
        </w:tc>
      </w:tr>
    </w:tbl>
    <w:p>
      <w:pPr>
        <w:spacing w:after="0" w:line="122"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717804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309245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On May 18, 2026, Kairos Pharma, Ltd., a Delaware corporation (the “Company”), issued a new investor presentation, which will be published on the Company’s website, </w:t>
      </w:r>
      <w:r>
        <w:rPr>
          <w:rFonts w:ascii="Times New Roman" w:cs="Times New Roman" w:eastAsia="Times New Roman" w:hAnsi="Times New Roman"/>
          <w:sz w:val="12"/>
          <w:szCs w:val="12"/>
          <w:u w:val="single" w:color="auto"/>
          <w:color w:val="auto"/>
        </w:rPr>
        <w:t>www.kairospharma.com</w:t>
      </w:r>
      <w:r>
        <w:rPr>
          <w:rFonts w:ascii="Times New Roman" w:cs="Times New Roman" w:eastAsia="Times New Roman" w:hAnsi="Times New Roman"/>
          <w:sz w:val="12"/>
          <w:szCs w:val="12"/>
          <w:color w:val="auto"/>
        </w:rPr>
        <w:t>, and presented today at the 2026 LD Micro Invitational XVI (the “LD Micro Invitational”), set to take place in Los Angeles, CA May 18-19, 2026. As part of its participation in the LD Micro Invitational, the Company’s Chief Executive Officer, John Yu, will present the investor presentation to provide an update on the Company’s clinical program and partnering activities.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copy of the investor presentation is being furnished as Exhibit 99.1 to this Form 8-K. The information included in this Item 8.01, including Exhibit 99.1, is being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or the Exchange Act, regardless of any general incorporation language in such filings.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2"/>
          <w:szCs w:val="12"/>
          <w:b w:val="1"/>
          <w:bCs w:val="1"/>
          <w:color w:val="auto"/>
        </w:rPr>
        <w:t>Exhibit No.</w:t>
      </w:r>
      <w:r>
        <w:rPr>
          <w:sz w:val="20"/>
          <w:szCs w:val="20"/>
          <w:color w:val="auto"/>
        </w:rPr>
        <w:tab/>
      </w:r>
      <w:r>
        <w:rPr>
          <w:rFonts w:ascii="Times New Roman" w:cs="Times New Roman" w:eastAsia="Times New Roman" w:hAnsi="Times New Roman"/>
          <w:sz w:val="11"/>
          <w:szCs w:val="11"/>
          <w:b w:val="1"/>
          <w:bCs w:val="1"/>
          <w:color w:val="auto"/>
        </w:rPr>
        <w:t>Description of Document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64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9"/>
                <w:szCs w:val="9"/>
                <w:color w:val="auto"/>
              </w:rPr>
            </w:pPr>
          </w:p>
        </w:tc>
        <w:tc>
          <w:tcPr>
            <w:tcW w:w="1020" w:type="dxa"/>
            <w:vAlign w:val="bottom"/>
            <w:tcBorders>
              <w:top w:val="single" w:sz="8" w:color="auto"/>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98"/>
              </w:rPr>
              <w:t>Investor Presentation</w:t>
            </w:r>
          </w:p>
        </w:tc>
        <w:tc>
          <w:tcPr>
            <w:tcW w:w="9560" w:type="dxa"/>
            <w:vAlign w:val="bottom"/>
            <w:tcBorders>
              <w:top w:val="single" w:sz="8" w:color="auto"/>
            </w:tcBorders>
          </w:tcPr>
          <w:p>
            <w:pPr>
              <w:spacing w:after="0"/>
              <w:rPr>
                <w:sz w:val="9"/>
                <w:szCs w:val="9"/>
                <w:color w:val="auto"/>
              </w:rPr>
            </w:pPr>
          </w:p>
        </w:tc>
      </w:tr>
      <w:tr>
        <w:trPr>
          <w:trHeight w:val="151"/>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3"/>
                <w:szCs w:val="13"/>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r>
      <w:tr>
        <w:trPr>
          <w:trHeight w:val="288"/>
        </w:trPr>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u w:val="single" w:color="auto"/>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and Exchange Act of 1934, the registrant has duly caused this report to be signed on its behalf by the undersigned hereunto duly authorized.</w:t>
      </w:r>
    </w:p>
    <w:p>
      <w:pPr>
        <w:spacing w:after="0" w:line="146"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Date: May 18, 2026</w:t>
      </w:r>
      <w:r>
        <w:rPr>
          <w:sz w:val="20"/>
          <w:szCs w:val="20"/>
          <w:color w:val="auto"/>
        </w:rPr>
        <w:tab/>
      </w:r>
      <w:r>
        <w:rPr>
          <w:rFonts w:ascii="Times New Roman" w:cs="Times New Roman" w:eastAsia="Times New Roman" w:hAnsi="Times New Roman"/>
          <w:sz w:val="11"/>
          <w:szCs w:val="11"/>
          <w:b w:val="1"/>
          <w:bCs w:val="1"/>
          <w:color w:val="auto"/>
        </w:rPr>
        <w:t>KAIROS PHARMA, LTD.</w:t>
      </w:r>
    </w:p>
    <w:p>
      <w:pPr>
        <w:spacing w:after="0" w:line="152"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John S.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12065</wp:posOffset>
            </wp:positionV>
            <wp:extent cx="33718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John S. Yu</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03" w:right="1440"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5012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218680" cy="5012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2026-05-18T07:34:23Z</dcterms:created>
  <dcterms:modified xsi:type="dcterms:W3CDTF">2026-05-18T07:34:23Z</dcterms:modified>
</cp:coreProperties>
</file>