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666750</wp:posOffset>
            </wp:positionH>
            <wp:positionV relativeFrom="page">
              <wp:posOffset>687070</wp:posOffset>
            </wp:positionV>
            <wp:extent cx="643890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8900" cy="37465"/>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742950</wp:posOffset>
            </wp:positionV>
            <wp:extent cx="643890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8900" cy="1905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174" w:lineRule="exact"/>
        <w:rPr>
          <w:sz w:val="24"/>
          <w:szCs w:val="24"/>
          <w:color w:val="auto"/>
        </w:rPr>
      </w:pPr>
    </w:p>
    <w:p>
      <w:pPr>
        <w:ind w:left="360" w:right="2880" w:hanging="360"/>
        <w:spacing w:after="0" w:line="235" w:lineRule="auto"/>
        <w:tabs>
          <w:tab w:leader="none" w:pos="360" w:val="left"/>
        </w:tabs>
        <w:numPr>
          <w:ilvl w:val="0"/>
          <w:numId w:val="1"/>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4"/>
          <w:szCs w:val="14"/>
          <w:color w:val="auto"/>
        </w:rPr>
        <w:t>For the fiscal year ended December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72" w:lineRule="exact"/>
        <w:rPr>
          <w:sz w:val="24"/>
          <w:szCs w:val="24"/>
          <w:color w:val="auto"/>
        </w:rPr>
      </w:pPr>
    </w:p>
    <w:p>
      <w:pPr>
        <w:ind w:left="360" w:right="2600" w:hanging="360"/>
        <w:spacing w:after="0" w:line="465" w:lineRule="auto"/>
        <w:tabs>
          <w:tab w:leader="none" w:pos="360" w:val="left"/>
        </w:tabs>
        <w:numPr>
          <w:ilvl w:val="0"/>
          <w:numId w:val="2"/>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 to ___</w:t>
      </w:r>
    </w:p>
    <w:p>
      <w:pPr>
        <w:jc w:val="center"/>
        <w:spacing w:after="0" w:line="228" w:lineRule="auto"/>
        <w:rPr>
          <w:sz w:val="20"/>
          <w:szCs w:val="20"/>
          <w:color w:val="auto"/>
        </w:rPr>
      </w:pPr>
      <w:r>
        <w:rPr>
          <w:rFonts w:ascii="Times New Roman" w:cs="Times New Roman" w:eastAsia="Times New Roman" w:hAnsi="Times New Roman"/>
          <w:sz w:val="14"/>
          <w:szCs w:val="14"/>
          <w:color w:val="auto"/>
        </w:rPr>
        <w:t>Commission file number: 001-42275</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KAIROS PHARMA, LTD.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jc w:val="right"/>
              <w:ind w:right="2070"/>
              <w:spacing w:after="0"/>
              <w:rPr>
                <w:sz w:val="20"/>
                <w:szCs w:val="20"/>
                <w:color w:val="auto"/>
              </w:rPr>
            </w:pPr>
            <w:r>
              <w:rPr>
                <w:rFonts w:ascii="Times New Roman" w:cs="Times New Roman" w:eastAsia="Times New Roman" w:hAnsi="Times New Roman"/>
                <w:sz w:val="14"/>
                <w:szCs w:val="14"/>
                <w:b w:val="1"/>
                <w:bCs w:val="1"/>
                <w:color w:val="auto"/>
              </w:rPr>
              <w:t>46-2993314</w:t>
            </w:r>
          </w:p>
        </w:tc>
      </w:tr>
      <w:tr>
        <w:trPr>
          <w:trHeight w:val="161"/>
        </w:trPr>
        <w:tc>
          <w:tcPr>
            <w:tcW w:w="654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3540" w:type="dxa"/>
            <w:vAlign w:val="bottom"/>
          </w:tcPr>
          <w:p>
            <w:pPr>
              <w:jc w:val="center"/>
              <w:ind w:right="131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5"/>
        </w:trPr>
        <w:tc>
          <w:tcPr>
            <w:tcW w:w="6540" w:type="dxa"/>
            <w:vAlign w:val="bottom"/>
            <w:gridSpan w:val="3"/>
          </w:tcPr>
          <w:p>
            <w:pPr>
              <w:jc w:val="center"/>
              <w:ind w:left="3470"/>
              <w:spacing w:after="0"/>
              <w:rPr>
                <w:sz w:val="20"/>
                <w:szCs w:val="20"/>
                <w:color w:val="auto"/>
              </w:rPr>
            </w:pPr>
            <w:r>
              <w:rPr>
                <w:rFonts w:ascii="Times New Roman" w:cs="Times New Roman" w:eastAsia="Times New Roman" w:hAnsi="Times New Roman"/>
                <w:sz w:val="14"/>
                <w:szCs w:val="14"/>
                <w:b w:val="1"/>
                <w:bCs w:val="1"/>
                <w:color w:val="auto"/>
              </w:rPr>
              <w:t>2355 Westwood Blvd., #139</w:t>
            </w:r>
          </w:p>
        </w:tc>
        <w:tc>
          <w:tcPr>
            <w:tcW w:w="3540" w:type="dxa"/>
            <w:vAlign w:val="bottom"/>
          </w:tcPr>
          <w:p>
            <w:pPr>
              <w:spacing w:after="0"/>
              <w:rPr>
                <w:sz w:val="24"/>
                <w:szCs w:val="24"/>
                <w:color w:val="auto"/>
              </w:rPr>
            </w:pPr>
          </w:p>
        </w:tc>
      </w:tr>
      <w:tr>
        <w:trPr>
          <w:trHeight w:val="162"/>
        </w:trPr>
        <w:tc>
          <w:tcPr>
            <w:tcW w:w="6540" w:type="dxa"/>
            <w:vAlign w:val="bottom"/>
            <w:gridSpan w:val="3"/>
          </w:tcPr>
          <w:p>
            <w:pPr>
              <w:jc w:val="center"/>
              <w:ind w:left="3470"/>
              <w:spacing w:after="0"/>
              <w:rPr>
                <w:sz w:val="20"/>
                <w:szCs w:val="20"/>
                <w:color w:val="auto"/>
              </w:rPr>
            </w:pPr>
            <w:r>
              <w:rPr>
                <w:rFonts w:ascii="Times New Roman" w:cs="Times New Roman" w:eastAsia="Times New Roman" w:hAnsi="Times New Roman"/>
                <w:sz w:val="14"/>
                <w:szCs w:val="14"/>
                <w:b w:val="1"/>
                <w:bCs w:val="1"/>
                <w:color w:val="auto"/>
              </w:rPr>
              <w:t>Los Angeles CA 90064</w:t>
            </w:r>
          </w:p>
        </w:tc>
        <w:tc>
          <w:tcPr>
            <w:tcW w:w="3540" w:type="dxa"/>
            <w:vAlign w:val="bottom"/>
          </w:tcPr>
          <w:p>
            <w:pPr>
              <w:spacing w:after="0"/>
              <w:rPr>
                <w:sz w:val="14"/>
                <w:szCs w:val="14"/>
                <w:color w:val="auto"/>
              </w:rPr>
            </w:pPr>
          </w:p>
        </w:tc>
      </w:tr>
      <w:tr>
        <w:trPr>
          <w:trHeight w:val="162"/>
        </w:trPr>
        <w:tc>
          <w:tcPr>
            <w:tcW w:w="6540" w:type="dxa"/>
            <w:vAlign w:val="bottom"/>
            <w:gridSpan w:val="3"/>
          </w:tcPr>
          <w:p>
            <w:pPr>
              <w:jc w:val="center"/>
              <w:ind w:left="347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540" w:type="dxa"/>
            <w:vAlign w:val="bottom"/>
          </w:tcPr>
          <w:p>
            <w:pPr>
              <w:spacing w:after="0"/>
              <w:rPr>
                <w:sz w:val="14"/>
                <w:szCs w:val="14"/>
                <w:color w:val="auto"/>
              </w:rPr>
            </w:pP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(310) 948-2356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325"/>
        </w:trPr>
        <w:tc>
          <w:tcPr>
            <w:tcW w:w="40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00" w:type="dxa"/>
            <w:vAlign w:val="bottom"/>
          </w:tcPr>
          <w:p>
            <w:pPr>
              <w:spacing w:after="0"/>
              <w:rPr>
                <w:sz w:val="24"/>
                <w:szCs w:val="24"/>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6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KAPA</w:t>
            </w:r>
          </w:p>
        </w:tc>
        <w:tc>
          <w:tcPr>
            <w:tcW w:w="200" w:type="dxa"/>
            <w:vAlign w:val="bottom"/>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r>
      <w:tr>
        <w:trPr>
          <w:trHeight w:val="32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3712210</wp:posOffset>
                </wp:positionH>
                <wp:positionV relativeFrom="paragraph">
                  <wp:posOffset>-314325</wp:posOffset>
                </wp:positionV>
                <wp:extent cx="12827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3pt,-24.7499pt" to="302.4pt,-24.7499pt" o:allowincell="f" strokecolor="#FFFFFF" strokeweight="0.9882pt"/>
            </w:pict>
          </mc:Fallback>
        </mc:AlternateContent>
      </w:r>
    </w:p>
    <w:p>
      <w:pPr>
        <w:spacing w:after="0" w:line="144" w:lineRule="exact"/>
        <w:rPr>
          <w:sz w:val="24"/>
          <w:szCs w:val="24"/>
          <w:color w:val="auto"/>
        </w:rPr>
      </w:pPr>
    </w:p>
    <w:p>
      <w:pPr>
        <w:ind w:right="2620"/>
        <w:spacing w:after="0" w:line="491"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78"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ectPr>
          <w:pgSz w:w="12240" w:h="15840" w:orient="portrait"/>
          <w:cols w:equalWidth="0" w:num="1">
            <w:col w:w="10080"/>
          </w:cols>
          <w:pgMar w:left="1080" w:top="1382" w:right="1080" w:bottom="1440" w:gutter="0" w:footer="0" w:header="0"/>
        </w:sectPr>
      </w:pP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Segoe UI Symbol" w:cs="Segoe UI Symbol" w:eastAsia="Segoe UI Symbol" w:hAnsi="Segoe UI Symbol"/>
          <w:sz w:val="14"/>
          <w:szCs w:val="14"/>
          <w:color w:val="auto"/>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Segoe UI Symbol" w:cs="Segoe UI Symbol" w:eastAsia="Segoe UI Symbol" w:hAnsi="Segoe UI Symbol"/>
          <w:sz w:val="14"/>
          <w:szCs w:val="14"/>
          <w:color w:val="auto"/>
        </w:rPr>
        <w: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Segoe UI Symbol" w:cs="Segoe UI Symbol" w:eastAsia="Segoe UI Symbol" w:hAnsi="Segoe UI Symbol"/>
          <w:sz w:val="14"/>
          <w:szCs w:val="14"/>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Smaller reporting company </w:t>
      </w:r>
      <w:r>
        <w:rPr>
          <w:rFonts w:ascii="Segoe UI Symbol" w:cs="Segoe UI Symbol" w:eastAsia="Segoe UI Symbol" w:hAnsi="Segoe UI Symbol"/>
          <w:sz w:val="13"/>
          <w:szCs w:val="13"/>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Emerging growth company </w:t>
      </w:r>
      <w:r>
        <w:rPr>
          <w:rFonts w:ascii="Segoe UI Symbol" w:cs="Segoe UI Symbol" w:eastAsia="Segoe UI Symbol" w:hAnsi="Segoe UI Symbol"/>
          <w:sz w:val="13"/>
          <w:szCs w:val="13"/>
          <w:color w:val="auto"/>
        </w:rPr>
        <w:t>☒</w:t>
      </w:r>
    </w:p>
    <w:p>
      <w:pPr>
        <w:spacing w:after="0" w:line="178" w:lineRule="exact"/>
        <w:rPr>
          <w:sz w:val="24"/>
          <w:szCs w:val="24"/>
          <w:color w:val="auto"/>
        </w:rPr>
      </w:pPr>
    </w:p>
    <w:p>
      <w:pPr>
        <w:sectPr>
          <w:pgSz w:w="12240" w:h="15840" w:orient="portrait"/>
          <w:cols w:equalWidth="0" w:num="2">
            <w:col w:w="4320" w:space="720"/>
            <w:col w:w="5040"/>
          </w:cols>
          <w:pgMar w:left="1080" w:top="1382" w:right="1080" w:bottom="1440" w:gutter="0" w:footer="0" w:header="0"/>
          <w:type w:val="continuous"/>
        </w:sect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spacing w:after="0" w:line="178"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spacing w:after="0" w:line="178"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78"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78"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At June 30, 2025, the last day of the Registrant’s most recently completed second fiscal quarter, the aggregate market value of Registrant’s common shares held by non-affiliates was approximately $6.9 million based upon the closing sale price as reported on the NYSE American. This calculation of market value has been made for the purposes of this report only and should not be considered as an admission or conclusion by the Registrant that any person is in fact an affiliate of the Registrant.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the Registrant had 21,411,198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153035</wp:posOffset>
            </wp:positionV>
            <wp:extent cx="6438900"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6438900" cy="3746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115570</wp:posOffset>
            </wp:positionV>
            <wp:extent cx="6438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438900" cy="19050"/>
                    </a:xfrm>
                    <a:prstGeom prst="rect">
                      <a:avLst/>
                    </a:prstGeom>
                    <a:noFill/>
                  </pic:spPr>
                </pic:pic>
              </a:graphicData>
            </a:graphic>
          </wp:anchor>
        </w:drawing>
      </w:r>
    </w:p>
    <w:p>
      <w:pPr>
        <w:sectPr>
          <w:pgSz w:w="12240" w:h="15840" w:orient="portrait"/>
          <w:cols w:equalWidth="0" w:num="1">
            <w:col w:w="10080"/>
          </w:cols>
          <w:pgMar w:left="1080" w:top="1382" w:right="1080" w:bottom="1440" w:gutter="0" w:footer="0" w:header="0"/>
          <w:type w:val="continuous"/>
        </w:sectPr>
      </w:pPr>
    </w:p>
    <w:bookmarkStart w:id="1" w:name="page2"/>
    <w:bookmarkEnd w:id="1"/>
    <w:p>
      <w:pPr>
        <w:ind w:left="40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34"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PART I</w:t>
      </w:r>
      <w:r>
        <w:rPr>
          <w:sz w:val="20"/>
          <w:szCs w:val="20"/>
          <w:color w:val="auto"/>
        </w:rPr>
        <w:tab/>
      </w:r>
      <w:r>
        <w:rPr>
          <w:rFonts w:ascii="Times New Roman" w:cs="Times New Roman" w:eastAsia="Times New Roman" w:hAnsi="Times New Roman"/>
          <w:sz w:val="20"/>
          <w:szCs w:val="20"/>
          <w:color w:val="auto"/>
        </w:rPr>
        <w:t>3</w:t>
      </w:r>
    </w:p>
    <w:p>
      <w:pPr>
        <w:spacing w:after="0" w:line="37" w:lineRule="exact"/>
        <w:rPr>
          <w:sz w:val="20"/>
          <w:szCs w:val="20"/>
          <w:color w:val="auto"/>
        </w:rPr>
      </w:pPr>
    </w:p>
    <w:p>
      <w:pPr>
        <w:spacing w:after="0"/>
        <w:tabs>
          <w:tab w:leader="none" w:pos="1060" w:val="left"/>
          <w:tab w:leader="dot" w:pos="99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4</w:t>
      </w:r>
    </w:p>
    <w:p>
      <w:pPr>
        <w:spacing w:after="0" w:line="72"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23</w:t>
      </w:r>
    </w:p>
    <w:p>
      <w:pPr>
        <w:spacing w:after="0" w:line="71"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87</w:t>
      </w:r>
    </w:p>
    <w:p>
      <w:pPr>
        <w:spacing w:after="0" w:line="72"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w:t>
      </w:r>
      <w:r>
        <w:rPr>
          <w:sz w:val="20"/>
          <w:szCs w:val="20"/>
          <w:color w:val="auto"/>
        </w:rPr>
        <w:tab/>
      </w:r>
      <w:r>
        <w:rPr>
          <w:rFonts w:ascii="Times New Roman" w:cs="Times New Roman" w:eastAsia="Times New Roman" w:hAnsi="Times New Roman"/>
          <w:sz w:val="20"/>
          <w:szCs w:val="20"/>
          <w:color w:val="auto"/>
        </w:rPr>
        <w:t>87</w:t>
      </w:r>
    </w:p>
    <w:p>
      <w:pPr>
        <w:spacing w:after="0" w:line="71"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87</w:t>
      </w:r>
    </w:p>
    <w:p>
      <w:pPr>
        <w:spacing w:after="0" w:line="73"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87</w:t>
      </w:r>
    </w:p>
    <w:p>
      <w:pPr>
        <w:spacing w:after="0" w:line="71"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87</w:t>
      </w:r>
    </w:p>
    <w:p>
      <w:pPr>
        <w:spacing w:after="0" w:line="106" w:lineRule="exact"/>
        <w:rPr>
          <w:sz w:val="20"/>
          <w:szCs w:val="20"/>
          <w:color w:val="auto"/>
        </w:rPr>
      </w:pPr>
    </w:p>
    <w:p>
      <w:pPr>
        <w:ind w:left="4340"/>
        <w:spacing w:after="0"/>
        <w:tabs>
          <w:tab w:leader="none" w:pos="9860" w:val="left"/>
        </w:tabs>
        <w:rPr>
          <w:sz w:val="20"/>
          <w:szCs w:val="20"/>
          <w:color w:val="auto"/>
        </w:rPr>
      </w:pPr>
      <w:r>
        <w:rPr>
          <w:rFonts w:ascii="Times New Roman" w:cs="Times New Roman" w:eastAsia="Times New Roman" w:hAnsi="Times New Roman"/>
          <w:sz w:val="20"/>
          <w:szCs w:val="20"/>
          <w:color w:val="auto"/>
        </w:rPr>
        <w:t>PART II</w:t>
      </w:r>
      <w:r>
        <w:rPr>
          <w:sz w:val="20"/>
          <w:szCs w:val="20"/>
          <w:color w:val="auto"/>
        </w:rPr>
        <w:tab/>
      </w:r>
      <w:r>
        <w:rPr>
          <w:rFonts w:ascii="Times New Roman" w:cs="Times New Roman" w:eastAsia="Times New Roman" w:hAnsi="Times New Roman"/>
          <w:sz w:val="20"/>
          <w:szCs w:val="20"/>
          <w:color w:val="auto"/>
        </w:rPr>
        <w:t>88</w:t>
      </w:r>
    </w:p>
    <w:p>
      <w:pPr>
        <w:spacing w:after="0" w:line="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the Registrant’s Common Equity, Related Shareholder Maters, and Issuer Purchases of</w:t>
      </w:r>
    </w:p>
    <w:p>
      <w:pPr>
        <w:ind w:left="1080"/>
        <w:spacing w:after="0" w:line="229" w:lineRule="auto"/>
        <w:tabs>
          <w:tab w:leader="dot" w:pos="986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88</w:t>
      </w:r>
    </w:p>
    <w:p>
      <w:pPr>
        <w:spacing w:after="0" w:line="63"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88</w:t>
      </w:r>
    </w:p>
    <w:p>
      <w:pPr>
        <w:spacing w:after="0" w:line="72"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89</w:t>
      </w:r>
    </w:p>
    <w:p>
      <w:pPr>
        <w:spacing w:after="0" w:line="71" w:lineRule="exact"/>
        <w:rPr>
          <w:sz w:val="20"/>
          <w:szCs w:val="20"/>
          <w:color w:val="auto"/>
        </w:rPr>
      </w:pPr>
    </w:p>
    <w:p>
      <w:pPr>
        <w:spacing w:after="0"/>
        <w:tabs>
          <w:tab w:leader="none" w:pos="1060" w:val="left"/>
          <w:tab w:leader="dot" w:pos="986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99</w:t>
      </w:r>
    </w:p>
    <w:p>
      <w:pPr>
        <w:spacing w:after="0" w:line="72"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100</w:t>
      </w:r>
    </w:p>
    <w:p>
      <w:pPr>
        <w:spacing w:after="0" w:line="71"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101</w:t>
      </w:r>
    </w:p>
    <w:p>
      <w:pPr>
        <w:spacing w:after="0" w:line="72"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101</w:t>
      </w:r>
    </w:p>
    <w:p>
      <w:pPr>
        <w:spacing w:after="0" w:line="71"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102</w:t>
      </w:r>
    </w:p>
    <w:p>
      <w:pPr>
        <w:spacing w:after="0" w:line="72"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102</w:t>
      </w:r>
    </w:p>
    <w:p>
      <w:pPr>
        <w:spacing w:after="0" w:line="106" w:lineRule="exact"/>
        <w:rPr>
          <w:sz w:val="20"/>
          <w:szCs w:val="20"/>
          <w:color w:val="auto"/>
        </w:rPr>
      </w:pPr>
    </w:p>
    <w:p>
      <w:pPr>
        <w:jc w:val="right"/>
        <w:spacing w:after="0"/>
        <w:tabs>
          <w:tab w:leader="none" w:pos="280" w:val="left"/>
        </w:tabs>
        <w:rPr>
          <w:sz w:val="20"/>
          <w:szCs w:val="20"/>
          <w:color w:val="auto"/>
        </w:rPr>
      </w:pPr>
      <w:r>
        <w:rPr>
          <w:rFonts w:ascii="Times New Roman" w:cs="Times New Roman" w:eastAsia="Times New Roman" w:hAnsi="Times New Roman"/>
          <w:sz w:val="20"/>
          <w:szCs w:val="20"/>
          <w:color w:val="auto"/>
        </w:rPr>
        <w:t>PART III</w:t>
      </w:r>
      <w:r>
        <w:rPr>
          <w:sz w:val="20"/>
          <w:szCs w:val="20"/>
          <w:color w:val="auto"/>
        </w:rPr>
        <w:tab/>
      </w:r>
      <w:r>
        <w:rPr>
          <w:rFonts w:ascii="Times New Roman" w:cs="Times New Roman" w:eastAsia="Times New Roman" w:hAnsi="Times New Roman"/>
          <w:sz w:val="20"/>
          <w:szCs w:val="20"/>
          <w:color w:val="auto"/>
        </w:rPr>
        <w:t>103</w:t>
      </w:r>
    </w:p>
    <w:p>
      <w:pPr>
        <w:spacing w:after="0" w:line="37"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103</w:t>
      </w:r>
    </w:p>
    <w:p>
      <w:pPr>
        <w:spacing w:after="0" w:line="72"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109</w:t>
      </w:r>
    </w:p>
    <w:p>
      <w:pPr>
        <w:spacing w:after="0" w:line="67" w:lineRule="exact"/>
        <w:rPr>
          <w:sz w:val="20"/>
          <w:szCs w:val="20"/>
          <w:color w:val="auto"/>
        </w:rPr>
      </w:pPr>
    </w:p>
    <w:p>
      <w:pPr>
        <w:spacing w:after="0"/>
        <w:tabs>
          <w:tab w:leader="none" w:pos="1060" w:val="left"/>
          <w:tab w:leader="none" w:pos="97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 xml:space="preserve">Security Ownership of Certain Beneficial Owners and Management and Related Stockholder Matters </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0"/>
          <w:szCs w:val="20"/>
          <w:color w:val="auto"/>
        </w:rPr>
        <w:t>112</w:t>
      </w:r>
    </w:p>
    <w:p>
      <w:pPr>
        <w:spacing w:after="0" w:line="30"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112</w:t>
      </w:r>
    </w:p>
    <w:p>
      <w:pPr>
        <w:spacing w:after="0" w:line="71"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r>
        <w:rPr>
          <w:sz w:val="20"/>
          <w:szCs w:val="20"/>
          <w:color w:val="auto"/>
        </w:rPr>
        <w:tab/>
      </w:r>
      <w:r>
        <w:rPr>
          <w:rFonts w:ascii="Times New Roman" w:cs="Times New Roman" w:eastAsia="Times New Roman" w:hAnsi="Times New Roman"/>
          <w:sz w:val="20"/>
          <w:szCs w:val="20"/>
          <w:color w:val="auto"/>
        </w:rPr>
        <w:t>113</w:t>
      </w:r>
    </w:p>
    <w:p>
      <w:pPr>
        <w:spacing w:after="0" w:line="106" w:lineRule="exact"/>
        <w:rPr>
          <w:sz w:val="20"/>
          <w:szCs w:val="20"/>
          <w:color w:val="auto"/>
        </w:rPr>
      </w:pPr>
    </w:p>
    <w:p>
      <w:pPr>
        <w:jc w:val="right"/>
        <w:spacing w:after="0"/>
        <w:tabs>
          <w:tab w:leader="none" w:pos="280" w:val="left"/>
        </w:tabs>
        <w:rPr>
          <w:sz w:val="20"/>
          <w:szCs w:val="20"/>
          <w:color w:val="auto"/>
        </w:rPr>
      </w:pPr>
      <w:r>
        <w:rPr>
          <w:rFonts w:ascii="Times New Roman" w:cs="Times New Roman" w:eastAsia="Times New Roman" w:hAnsi="Times New Roman"/>
          <w:sz w:val="20"/>
          <w:szCs w:val="20"/>
          <w:color w:val="auto"/>
        </w:rPr>
        <w:t>PART IV</w:t>
      </w:r>
      <w:r>
        <w:rPr>
          <w:sz w:val="20"/>
          <w:szCs w:val="20"/>
          <w:color w:val="auto"/>
        </w:rPr>
        <w:tab/>
      </w:r>
      <w:r>
        <w:rPr>
          <w:rFonts w:ascii="Times New Roman" w:cs="Times New Roman" w:eastAsia="Times New Roman" w:hAnsi="Times New Roman"/>
          <w:sz w:val="20"/>
          <w:szCs w:val="20"/>
          <w:color w:val="auto"/>
        </w:rPr>
        <w:t>114</w:t>
      </w:r>
    </w:p>
    <w:p>
      <w:pPr>
        <w:spacing w:after="0" w:line="36"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114</w:t>
      </w:r>
    </w:p>
    <w:p>
      <w:pPr>
        <w:spacing w:after="0" w:line="72" w:lineRule="exact"/>
        <w:rPr>
          <w:sz w:val="20"/>
          <w:szCs w:val="20"/>
          <w:color w:val="auto"/>
        </w:rPr>
      </w:pPr>
    </w:p>
    <w:p>
      <w:pPr>
        <w:spacing w:after="0"/>
        <w:tabs>
          <w:tab w:leader="none" w:pos="1060" w:val="left"/>
          <w:tab w:leader="dot" w:pos="976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118</w:t>
      </w:r>
    </w:p>
    <w:p>
      <w:pPr>
        <w:spacing w:after="0" w:line="71" w:lineRule="exact"/>
        <w:rPr>
          <w:sz w:val="20"/>
          <w:szCs w:val="20"/>
          <w:color w:val="auto"/>
        </w:rPr>
      </w:pPr>
    </w:p>
    <w:p>
      <w:pPr>
        <w:spacing w:after="0"/>
        <w:tabs>
          <w:tab w:leader="dot" w:pos="976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119</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78" w:right="1080" w:bottom="156"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Regarding Forward-Looking Statements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This Annual Report on Form 10-K (the “Annual Report”)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Statements about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Words such as “could,” “may,” “will,” “should,” “likely,” “anticipates,” “expects,” “intends,” “plans,” “projects,” “believes,” “estimates,” and variations on such words, including similar expressions, are used to identify these forward-looking statements. Forward-looking statements contained in this Annual Report include, but are not limited to, statements about:</w:t>
      </w:r>
    </w:p>
    <w:p>
      <w:pPr>
        <w:spacing w:after="0" w:line="246" w:lineRule="exact"/>
        <w:rPr>
          <w:sz w:val="20"/>
          <w:szCs w:val="20"/>
          <w:color w:val="auto"/>
        </w:rPr>
      </w:pPr>
    </w:p>
    <w:p>
      <w:pPr>
        <w:ind w:left="720" w:hanging="720"/>
        <w:spacing w:after="0" w:line="256" w:lineRule="auto"/>
        <w:tabs>
          <w:tab w:leader="none" w:pos="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initiation, timing, progress and results of our preclinical and nonclinical studies and clinical trials, and our research and development programs, including the manufacture of clinical trial material and drug product for launch;</w:t>
      </w:r>
    </w:p>
    <w:p>
      <w:pPr>
        <w:spacing w:after="0" w:line="67" w:lineRule="exact"/>
        <w:rPr>
          <w:rFonts w:ascii="Times New Roman" w:cs="Times New Roman" w:eastAsia="Times New Roman" w:hAnsi="Times New Roman"/>
          <w:sz w:val="19"/>
          <w:szCs w:val="19"/>
          <w:color w:val="auto"/>
        </w:rPr>
      </w:pPr>
    </w:p>
    <w:p>
      <w:pPr>
        <w:ind w:left="720" w:hanging="720"/>
        <w:spacing w:after="0" w:line="23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complete our ongoing and planned for clinical trials and obtain regulatory approval in the United States for our target drugs;</w:t>
      </w:r>
    </w:p>
    <w:p>
      <w:pPr>
        <w:spacing w:after="0" w:line="81" w:lineRule="exact"/>
        <w:rPr>
          <w:rFonts w:ascii="Times New Roman" w:cs="Times New Roman" w:eastAsia="Times New Roman" w:hAnsi="Times New Roman"/>
          <w:sz w:val="20"/>
          <w:szCs w:val="20"/>
          <w:color w:val="auto"/>
        </w:rPr>
      </w:pPr>
    </w:p>
    <w:p>
      <w:pPr>
        <w:ind w:left="720" w:hanging="720"/>
        <w:spacing w:after="0" w:line="23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the continued service of our key professionals and to identify, hire and retain additional qualified professionals as needed;</w:t>
      </w:r>
    </w:p>
    <w:p>
      <w:pPr>
        <w:spacing w:after="0" w:line="71"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advance product candidates into, and successfully complete, clinical trials;</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and our ability to obtain and maintain regulatory approvals for our product candidates;</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commercialize our product candidates, if approved;</w:t>
      </w:r>
    </w:p>
    <w:p>
      <w:pPr>
        <w:spacing w:after="0" w:line="81" w:lineRule="exact"/>
        <w:rPr>
          <w:rFonts w:ascii="Times New Roman" w:cs="Times New Roman" w:eastAsia="Times New Roman" w:hAnsi="Times New Roman"/>
          <w:sz w:val="20"/>
          <w:szCs w:val="20"/>
          <w:color w:val="auto"/>
        </w:rPr>
      </w:pPr>
    </w:p>
    <w:p>
      <w:pPr>
        <w:ind w:left="720" w:hanging="720"/>
        <w:spacing w:after="0" w:line="23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current in-development products, if approved, to successfully compete with other therapies, including therapies currently in development;</w:t>
      </w:r>
    </w:p>
    <w:p>
      <w:pPr>
        <w:spacing w:after="0" w:line="7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coverage and reimbursement of our product candidates, if approved;</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our business model, strategic plans for our business, and product candidates;</w:t>
      </w:r>
    </w:p>
    <w:p>
      <w:pPr>
        <w:spacing w:after="0" w:line="81" w:lineRule="exact"/>
        <w:rPr>
          <w:rFonts w:ascii="Times New Roman" w:cs="Times New Roman" w:eastAsia="Times New Roman" w:hAnsi="Times New Roman"/>
          <w:sz w:val="20"/>
          <w:szCs w:val="20"/>
          <w:color w:val="auto"/>
        </w:rPr>
      </w:pPr>
    </w:p>
    <w:p>
      <w:pPr>
        <w:ind w:left="720" w:hanging="720"/>
        <w:spacing w:after="0" w:line="23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additional product candidates and advance them into clinical development;</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expenses, capital requirements and needs for additional financing;</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performance; and</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These risks and uncertainties, all of which are difficult or impossible to predict accurately and many of which are beyond our control, include, but are not limited to those made below under “Summary of Risk Factors” and in Item 1A. Risk Factors in this Annual Report. You should carefully consider these risks, as well as the additional risks described in other documents we file with the Securities and Exchange Commission (“SEC”). We also operate in a very competitive and rapidly changing environment. New risks emerge from time to time and it is not possible for our management to predict all risks, nor can we assess the impact of all such risk factors on our business or the extent to which any factor, or combination of factors, may cause actual results to differ materially from those contained in, or implied by, any forward-looking statements.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Forward-looking statements in this Annual Report are based on management’s current views and assumptions regarding future events and speak only as of the date when made. Kairos undertakes no obligation to publicly update or revise any forward-looking statements, whether as a result of new information, future events, or otherwise, except as required by federal securities laws.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78" w:right="1080" w:bottom="156" w:gutter="0" w:footer="0" w:header="0"/>
          <w:type w:val="continuous"/>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9"/>
          <w:szCs w:val="19"/>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Unless otherwise necessary or appropriate in the context, references in this Annual Report to “Kairos,” the “Company,” “we,” “us,” and “our” refer to Kairos Pharma, Ltd., a Delaware corporation, and our wholly owned subsidiary, Enviro Therapeutics, Inc., a California corporation.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are a clinical-stage biopharmaceutical company advancing therapeutics for cancer patients that are designed to overcome key hurdles in immune suppression and drug resistance. These therapeutics include antibodies and small molecules for the treatment of prostate cancer, lung cancer, breast cancer, and glioblastoma. We are driven by innovative science to develop novel and transformative drug therapies to treat cancer.</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mission is to advance our portfolio of innovative therapeutics to target key mechanisms of therapeutic resistance and immune suppression and transform the way cancer is treated. We have leveraged molecular insights of the mechanisms of therapeutic resistance and immune suppression to develop a new class of novel drugs that we expect will target drug resistance and checkpoints of immune suppression. Our seven-drug portfolio offers diversification and mitigates the overall exposure to many of the inherent risks of drug development. Our proprietary technologies are licensed from Cedars-Sinai Medical Center, the largest academic medical center in the Western U.S. and ranked number one in California and number two in the nation in U.S. News &amp; World Report’s Best Hospitals Honor Roll for 2022-2023. As of the date of this Annual Report, our product candidates have not been approved as safe or effective by the FDA or any other comparable foreign regulator.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product portfolio currently consists of:</w:t>
      </w:r>
    </w:p>
    <w:p>
      <w:pPr>
        <w:spacing w:after="0" w:line="234" w:lineRule="exact"/>
        <w:rPr>
          <w:sz w:val="20"/>
          <w:szCs w:val="20"/>
          <w:color w:val="auto"/>
        </w:rPr>
      </w:pPr>
    </w:p>
    <w:p>
      <w:pPr>
        <w:ind w:left="720" w:hanging="72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pre-clinical or clinical-trial stage drug candidates developed by us and designed to target immune response.</w:t>
      </w:r>
    </w:p>
    <w:p>
      <w:pPr>
        <w:spacing w:after="0" w:line="80" w:lineRule="exact"/>
        <w:rPr>
          <w:rFonts w:ascii="Times New Roman" w:cs="Times New Roman" w:eastAsia="Times New Roman" w:hAnsi="Times New Roman"/>
          <w:sz w:val="20"/>
          <w:szCs w:val="20"/>
          <w:color w:val="auto"/>
        </w:rPr>
      </w:pPr>
    </w:p>
    <w:p>
      <w:pPr>
        <w:ind w:left="720" w:hanging="720"/>
        <w:spacing w:after="0" w:line="23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therapeutic agents developed by our Enviro Therapeutics, Inc. subsidiary and designed to increase anti-tumor response in conjunction with cancer therapies by addressing resistance to these agents.</w:t>
      </w:r>
    </w:p>
    <w:p>
      <w:pPr>
        <w:spacing w:after="0" w:line="81" w:lineRule="exact"/>
        <w:rPr>
          <w:rFonts w:ascii="Times New Roman" w:cs="Times New Roman" w:eastAsia="Times New Roman" w:hAnsi="Times New Roman"/>
          <w:sz w:val="20"/>
          <w:szCs w:val="20"/>
          <w:color w:val="auto"/>
        </w:rPr>
      </w:pPr>
    </w:p>
    <w:p>
      <w:pPr>
        <w:jc w:val="both"/>
        <w:ind w:left="720" w:hanging="720"/>
        <w:spacing w:after="0" w:line="23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variety of technologies licensed by our Enviro Therapeutics, Inc. subsidiary and consisting of compositions and methods for treating diseases and conditions by targeting CD105 and depleting mitochondrial DNA from the circulation.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Science</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human immune system can tell the difference between normal cells in the body and those it sees as “foreign,” which allows it to focus an attack on the foreign cells while leaving the normal cells alone. To do this, our immune system uses “checkpoints”</w:t>
      </w:r>
    </w:p>
    <w:p>
      <w:pPr>
        <w:spacing w:after="0" w:line="1" w:lineRule="exact"/>
        <w:rPr>
          <w:sz w:val="20"/>
          <w:szCs w:val="20"/>
          <w:color w:val="auto"/>
        </w:rPr>
      </w:pPr>
    </w:p>
    <w:p>
      <w:pPr>
        <w:spacing w:after="0" w:line="236" w:lineRule="auto"/>
        <w:tabs>
          <w:tab w:leader="none" w:pos="12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molecules on certain immune cells that need to be activated (or inactivated) to start an immune response. Cancer cells can find ways to use these checkpoints to avoid being attacked by the immune system.</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are developing small molecules that we believe can specifically target these central checkpoints. In addition, we are developing an activated T cell therapy designed to target cancer stem cells.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June of 2021, we announced the acquisition of Enviro Therapeutics, Inc. to incorporate their advanced pipeline of drug candidates in Phase 1 and Phase 2 trials. The pipeline includes two therapeutic agents addressing what we believe to be significant unmet needs in prostate and lung cancer markets and that we believe can help address cancer progression, in particular, in those cancers that develop resistance to standard therapies.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a result, we have a pipeline of seven drugs. We have filed an Investigational New Drug, or IND, application with the FDA that has become effective for ENV 105. As a result, we began a Phase 1 trial for non-small cell lung cancer in September 2023 and in September 2023 opened a randomized Phase 2 trial for prostate cancer. We believe that the mechanism of action for ENV 105 may addresses the resistance mechanism of tumor dormancy. This was only possible because ENV 105 targets both the cancer cells as well as its supportive non-cancer environment. The advantage of targeting the unique environment supporting the tumor cells is that their capacity to adapt and evade therapy is significantly lower than that of the cancer itself.</w:t>
      </w:r>
    </w:p>
    <w:p>
      <w:pPr>
        <w:sectPr>
          <w:pgSz w:w="12240" w:h="15840" w:orient="portrait"/>
          <w:cols w:equalWidth="0" w:num="1">
            <w:col w:w="10080"/>
          </w:cols>
          <w:pgMar w:left="1080" w:top="1088" w:right="1080" w:bottom="156" w:gutter="0" w:footer="0" w:header="0"/>
        </w:sect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88" w:right="1080" w:bottom="156" w:gutter="0" w:footer="0" w:header="0"/>
          <w:type w:val="continuous"/>
        </w:sectPr>
      </w:pPr>
    </w:p>
    <w:bookmarkStart w:id="4" w:name="page5"/>
    <w:bookmarkEnd w:id="4"/>
    <w:p>
      <w:pPr>
        <w:jc w:val="both"/>
        <w:spacing w:after="0" w:line="239" w:lineRule="auto"/>
        <w:rPr>
          <w:sz w:val="20"/>
          <w:szCs w:val="20"/>
          <w:color w:val="auto"/>
        </w:rPr>
      </w:pPr>
      <w:r>
        <w:rPr>
          <w:rFonts w:ascii="Times New Roman" w:cs="Times New Roman" w:eastAsia="Times New Roman" w:hAnsi="Times New Roman"/>
          <w:sz w:val="20"/>
          <w:szCs w:val="20"/>
          <w:color w:val="auto"/>
        </w:rPr>
        <w:t>As such, ENV 105 is designed to address resistance to chemotherapy, radiation therapy, androgen targeted therapy, EGFR inhibitors, or checkpoint inhibition when given in combination. Interestingly, since the target of ENV 105, endoglin, is upregulated by the tumor and supporting cells in response to androgen targeted therapy and EGFR inhibitors as a proven mechanism of resistance, we believe the co-administration of ENV 105 specifically targets this mechanism of resistance.</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Through the Enviro Therapeutics, Inc. acquisition, we also obtained ENV 205, a pre-clinical therapeutic for treating diseases and conditions by depletion of mitochondrial DNA from circulation and for detection of mitochondrial DNA. We intend to use this antibody technology to treat chemotherapy resistance and for cachexia, a common problem in the cancer patient population.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have sought to develop a broad portfolio of novel and transformative drug therapies to treat cancer. Our current portfolio consists of seven drug therapies consisting of peptide and small molecule cancer immunotherapeutics KROS 101, 102, 201, 301 and 401 and therapeutic agents ENV 105 and 205. We started three clinical trials in the fall of 2023 for KROS 201 and ENV 105.</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KROS 101 is a small molecule that targets the GITR ligand, a signal for T cell growth to remove a checkpoint barrier to fight a host of cancers. Our second drug, KROS 201, is a T cell therapy activated by dendritic cells to treat glioblastoma, a deadly and common brain cancer. Our ENV 105 drug seeks to address unmet medical needs in large markets of prostate and lung cancers. For example, the global prostate cancer therapeutics market size was valued at USD 7.9 billion and at USD 1.7 billion for EGFR mutant non-small cell lung cancer. Our ENV 105 biologic drug targets endoglin and addresses resistance to androgen targeted drugs and EGFR inhibitors. A Phase 2 trial involving a heavily pre-treated population suffering from prostate cancer was initiated at Cedars-Sinai Medical Center. The primary objective of the study was to measure the proportion of patients at two months who had either disease stabilization or regression (i.e. complete or partial response), referred to as the clinical benefit rate. A clinical benefit rate of 62% was observed. This Phase 2 trial involved the use of enzalutamide (Xtandi®, Pfizer) and abiraterone (ZYTIGA®, Janssen), two forms of hormone therapy that blocks the androgen receptor and its target ligand, testosterone, respectively. These two agents are considered standard of care for nearly all recurrent prostate cancer patients.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trial accrued patients that were resistant to the very androgen targeted therapy (enzalutamide or abiraterone) that was given in the trial in addition to ENV105. Importantly, ENV105 administration alone has no clinical benefit, based on pre-clinical findings (conducted by us) and previous clinical findings (through trials performed by the National Cancer Institute). However, two agents that apparently have no clinical effect, when combined result in halting tumor progression. The finding is well justified by numerous publications demonstrating hormone therapy resistance develops through the induction of CD105, the target of ENV 105 [Placencio-Hickok et al. (2020) Endocrine Related Cancer 27:1; Kato et al. (2020) Oncogene 38: 716; Smith et. al. (2023) Molecular Therapy 31: 78; Thiruvalluvanet. al. (2023) Cancers 14: 2491]. All the patients in the trial were not only resistant to the two hormone therapy agents, but the patients had all had at least one other intervention after surgical or radiation progression. For some they had failed to respond to five other drugs. The responders to the combination therapy were patients that had exceedingly few other options for survival. The study enrolled 11 patients prior to closure, each of whom were enrolled in one of two arms (or specific treatments) in the clinical trial. Three patients were enrolled in the abiraterone acetate arm and eight in the enzalutamide arm. Of these patients only two and six patients on each arm were considered assessable, respectively (i.e. completed at least two months of therapy with imaging). Of the 11 patients enrolled in the trials, nine were evaluable. This investigator-initiated trial closed to accrual prior to its planned enrollment of 40 patients due to limitation of the drug supply from the manufacturer. The drug supply has since been expanded and obtained by Kairos Pharma. The primary objective of the study was to measure the proportion of patients at two months who had either disease stabilization or regression (i.e., complete or partial response), referred to as the clinical benefit rate. Disease status assessments were made by RECIST 1.1 or PCWG3 criteria. One of the two patients on the abiraterone arm experienced a &lt;50% decline in his serum PSA concentration with disease stabilization by scans. Four of the six patients on the enzalutamide arm experienced clinical benefit by three showing stabilization of disease, and one showing decline in his serum PSA concentration and scan improvement. Grade 3 side effects consisting of hyponatremia, urinary retention, and cellulitis were noted on the abiraterone arm. None of these grade 3 events were attributed to the use of ENV105. No grade 3 events were noted on the enzalutamide arm. The most frequent grade 1-2 events occurring in at least two patients included anemia, nausea, and gingival bleeding.</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 three-gene panel was identified to serve as a companion biomarker for patient selection. There are no approved companion diagnostic tests for ENV105. However, candidate biomarkers revealed in the previous Phase 2 trial will be verified in the new Phase 2 trial to better predict patients that would best respond to the ENV105. Our Enviro Therapeutics, Inc. subsidiary will strive to co-develop companion biomarkers with all drugs in its portfolio, enabling identification of potential drug responders prior to therapy. As of the date of this Annual Report, our companion diagnostics are in development and have not been approved by the FDA. There is no guarantee that these companion diagnostics will be approved by the FDA or comparable foreign regulatory agencies.</w:t>
      </w:r>
    </w:p>
    <w:p>
      <w:pPr>
        <w:sectPr>
          <w:pgSz w:w="12240" w:h="15840" w:orient="portrait"/>
          <w:cols w:equalWidth="0" w:num="1">
            <w:col w:w="10080"/>
          </w:cols>
          <w:pgMar w:left="1080" w:top="1088" w:right="1080" w:bottom="156" w:gutter="0" w:footer="0" w:header="0"/>
        </w:sectPr>
      </w:pP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88" w:right="1080" w:bottom="156" w:gutter="0" w:footer="0" w:header="0"/>
          <w:type w:val="continuous"/>
        </w:sectPr>
      </w:pPr>
    </w:p>
    <w:bookmarkStart w:id="5" w:name="page6"/>
    <w:bookmarkEnd w:id="5"/>
    <w:p>
      <w:pPr>
        <w:jc w:val="both"/>
        <w:spacing w:after="0"/>
        <w:rPr>
          <w:sz w:val="20"/>
          <w:szCs w:val="20"/>
          <w:color w:val="auto"/>
        </w:rPr>
      </w:pPr>
      <w:r>
        <w:rPr>
          <w:rFonts w:ascii="Times New Roman" w:cs="Times New Roman" w:eastAsia="Times New Roman" w:hAnsi="Times New Roman"/>
          <w:sz w:val="20"/>
          <w:szCs w:val="20"/>
          <w:color w:val="auto"/>
        </w:rPr>
        <w:t>On May 21, 2024, the NIH announced that it was awarding Neil Bhowmick, PhD, our Chief Scientific Officer and also a Cedars-Sinai Professor of Medicine, a grant of $3.2 million to support the development of the mechanism of action and companion biomarkers in research that is being performed by Cedars-Sinai in conjunction with our ongoing Phase 2 trial for ENV105 (carotuximab) and apalutamide treating castrate resistant prostate cancer patients. This funding will be used by Cedars-Sinai, through Dr. Bhowmick’s study, to test for the biomarkers and genetic studies corollary studies to support our ongoing Phase 2 trial for ENV105, and also to help identify biomarker positive patients who will potentially respond to ENV105 in a future Phase 3 trial. This supporting work is being carried out by Cedars-Sinai, through Dr. Bhowmick’s laboratory. These corollary studies will not offset the costs of the clinical trial that Kairos anticipates expending. The NIH funding will be dispersed to Cedars-Sinai and Dr. Bhowmick in stages during the Phase 2 trial for ENV105. The NIH grant does not otherwise change the cost or management of the ongoing Phase 2 clinical trial.</w:t>
      </w: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KROS 101 is a small molecule that induces trimerization of the GITR ligand and is the culmination of the pioneering work of Dr. Ramachandran Murali, our Vice President of Research and Development, in 3D crystallography. KROS 201 consists of potent T cells that are stimulated by dendritic cells in the test tube to target cancer stem cells. Our initial focus of KROS 201 is to treat glioblastoma. Dr. Yu runs a lab that is known for its pioneering work in dendritic cell immunotherapy.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ENV 105 demonstrated an ability to target CD105 which is elevated in drug resistance in prostate cancer. Androgen therapy resistance in prostate cancer is being targeted in the Phase 2 trial. EGFR antagonist resistance in lung cancer is being targeted in a Phase 1 trial. The ENV 105 Phase 2 trial in prostate cancer with apalutamide (Janssen) is a multicenter trial being conducted at Cedars-Sinai, University of Utah, and City of Hope. The Phase 1 trial in lung cancer with Tagrisso (AstraZeneca) is being conducted at Cedars-Sinai.</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are also developing KROS 102, KROS 301, and KROS 401. KROS 102 is a GITR ligand antagonist designed to increase inhibitory Treg functions while hampering T effector cell numbers and function. KROS 301 is a tumor targeting small molecule and checkpoint inhibitor with two distinct mechanisms of action resulting from blocking intranuclear localization of RelA, a key component of the NF-KB pathway. KROS 401 is a tumor microenvironment immune modulator and cyclic peptide inhibitor of IL-4 and IL-13 reversing tumor associated macrophage inhibition. Both therapies reverse the mechanism of immune suppression at the tumor site.</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Finally, we are developing ENV 205, what we believe to be a first-of-its-kind biologic that targets prostate cancers that have become otherwise resistant to chemotherapy. As of the date of this Annual Report, ENV 205 has not been approved by the FDA or any other comparable foreign regulator. ENV 205 targets the excretion of mitochondrial DNA found elevated in circulation when patients are on chemotherapy. Higher blood levels of mitochondrial DNA are not only associated with chemotherapy resistance, but more widely recognized as a mediator of cardiac toxicity and other systemic inflammatory events contributing to the negative side effects of chemotherapy use. Thus, depleting mitochondrial DNA with the administration of ENV 205 restores chemotherapy sensitivity with reduced toxic side effects.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Addressing these critical targets strike cancer at what we believe to be its most vulnerable point. The group of founding scientists generating our initial drugs have combined their pioneering contributions in structural, biology, immunology, and cancer therapy to bring to unmet medical needs what we believe are life changing therapeutics. As of the date of this Annual Report, aside from the clinical trials, which are conducted off-site at third party facilities, our operations are all conducted virtually as we aim to be efficient in our deployment of capital and leverage our history with premier academic medical centers to efficiently enroll and execute clinical trials.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Pipeline and Programs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drug development programs for KROS 101, 102, 201, 301, and 401 as well as therapeutic agents ENV 105 and ENV 205 are summarized in the following table.</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88" w:right="1080" w:bottom="156"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685800</wp:posOffset>
            </wp:positionV>
            <wp:extent cx="5943600" cy="3257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436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Kairos-Developed Products</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Kairos’ products consist of five pre-clinical or clinical-trial stage drug candidates developed by Kairos and designed to target immune response.</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KROS 101 is an orally available GITR (glucocorticoid-induced tumor necrosis factor receptor) ligand small-molecule antagonist designed to deplete regulatory T cells (Tregs) and activate effector T cells to augment the antitumor immune response for the treatment of patients with cancer. We are developing KROS 101 as a systemic immune modulator to address immunosuppressive activity of solid cancers and we are currently working towards completing IND-enabling pharmacokinetic, toxicity and safety studies in 2024 . KROS 101 stabilizes the GITR ligand to signal GITR to impact cancer therapy. GITR is a powerful checkpoint that suppresses the immune response against cancer. This checkpoint is a central switch that promotes “killer” effector T cell functions and hampers inhibitory regulatory T cell (Treg) functions. Due to its central role in regulating Treg, GITR receptor complex is considered an optimal therapeutic target for treating cancer. This may be the optimal complement to add to current checkpoint inhibitors as it shows a dose dependent effective response in increasing the immune response. As a competitive antagonist, KROS 101 could be dosed to avoid the typical common side effects of checkpoint inhibitors.</w:t>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believe our GITR targeting small molecule has the potential to be a significant improvement over existing antibody treatments that have been tested in clinical trials. When GITRL binds to the GITR on the surface of Treg cells, the suppressive activity of Treg cells against effector T cells is reduced. While on the effector T cell, GITR-GITRL binding induces the proliferation of effector T cells. This receptor is central to the regulation of the immune system.</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Whereas previous competitor therapeutics targeting GITR were antibodies that bind the receptor, our small molecule drug fits into the GITR ligand stabilizing the three-pronged trimer structure. This structure enables the amplification of the GITR receptor trimer, leading to physiologic signaling for T cell proliferation. The analogy is a digital signal rather than a limited analog signal. This powerful physiologic signal can lead to exponential signaling of T cells to proliferate against cancer cells. In addition, the small molecule half-life enables reversibility, allows for fine tuning to limit side effects. Having both agonist and antagonist molecules can reverse potential untoward effects. In addition, this small molecule may also be given orally as a medication. The discovery of KROS 101 was the culmination of transformative structural biology based on exclusive proprietary 3D crystallography first used to model GITR ligand by Kairos’ scientists.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KROS 101 is currently in pre-IND studies in development for a Phase 1 trial.</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KROS 102 is a GITR antagonist designed to increase the inhibitory regulatory T cell (Treg) functions, while hampering T effector cell numbers and function. KROS 102 has been shown to decrease T effector cells and increase Treg cells in a dose dependent fashion to treat autoimmune diseases. We are developing a novel GITR inhibitor that can impact the abnormal immune responses against one’s own body.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440" w:right="1080" w:bottom="156" w:gutter="0" w:footer="0" w:header="0"/>
        </w:sectPr>
      </w:pPr>
    </w:p>
    <w:bookmarkStart w:id="7" w:name="page8"/>
    <w:bookmarkEnd w:id="7"/>
    <w:p>
      <w:pPr>
        <w:jc w:val="both"/>
        <w:spacing w:after="0" w:line="239" w:lineRule="auto"/>
        <w:rPr>
          <w:sz w:val="20"/>
          <w:szCs w:val="20"/>
          <w:color w:val="auto"/>
        </w:rPr>
      </w:pPr>
      <w:r>
        <w:rPr>
          <w:rFonts w:ascii="Times New Roman" w:cs="Times New Roman" w:eastAsia="Times New Roman" w:hAnsi="Times New Roman"/>
          <w:sz w:val="20"/>
          <w:szCs w:val="20"/>
          <w:color w:val="auto"/>
        </w:rPr>
        <w:t>Due to its central role in regulating Treg, the GITR receptor complex is an optimal therapeutic target to treat autoimmunity. By potently and specifically inhibiting an immune response, this strategy may impact autoimmune diseases such as Crohn’s disease, multiple sclerosis, and rheumatoid arthritis. KROS 102 has been shown to decrease T effector cells and increase Treg cells in a dose dependent fashion. KROS 102 is currently in preclinical studies.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KROS 201 is a proprietary technology for the production of activated T cells. Activated T cells (ATC) are killer T cells that are made from a patient’s white blood cells in a cell culture by activating with cytokines or T cell activating signals and by priming dendritic cells loaded with glioblastoma cancer stem cell specific antigens. Kairos generates activated T cells that will be infused intravenously into patients with recurrent glioblastoma.</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KROS 201 begins with the activation of T cells using dendritic cells for the treatment of patients with glioblastoma. Activated T cells (ATC) are killer T cells that are made from a patient’s white blood cells in a cell culture by activating with cytokines or T cell activating signals and by priming dendritic cells loaded with glioblastoma cancer stem cell specific antigens. Cytotoxic and helper T cells are generated in a cell manufacturing center and infused into patients with recurrent glioblastoma.</w:t>
      </w:r>
    </w:p>
    <w:p>
      <w:pPr>
        <w:spacing w:after="0" w:line="2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believe KROS 201 has the potential to become a novel T cell therapy that allows a “plug and play” scenario where a patient’s specific tumor can be addressed as well as the improvement of cancer treatment by stimulating patients’ immune systems to generate a long-term population of cytotoxic T cells &amp; helper T cells directed against the tumor.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completed IND-enabling pharmacology and toxicology studies and submitted an IND application.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KROS 301 is a tumor-targeting small molecule and checkpoint inhibitor with two distinct mechanisms of action resulting from blocking intranuclear localization of RelA, a key component of the NF-KB pathway. NF-KB is a key component for cancer growth and drug resistance. KROS 301 targets tumor cells in in RelA/p65 biomarker positive solid tumors. The use of this biomarker enables choosing patients that will respond to the drug enabling efficient clinical trials that are more likely to succeed. KROS 301 is in active pre-clinical development. Separate approval will be required for the development and approval of a companion diagnostic. This approval may be delayed or not issued by the FDA.</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KROS 401 is a tumor microenvironment immune modulator and cyclic peptide inhibitor of IL-4 and IL-13 reversing tumor associated macrophage inhibition. KROS 401 reduced the M2 macrophage population and limits fibrosis of the pancreas due to anti-inflammatory process (Xue, Nature Com. 2015). Other indications may include pulmonary fibrosis, Crohn’s disease, and other inflammatory conditions. KROS 401 blocks the IL4/IL13 cytokine immune receptors for triple negative breast cancer and in addition, it increases anti-tumor response in conjunction with radiation therapy in an animal model.</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Recently, it became clear that macrophages in tumors are altered by the Th2 cytokines IL-4 and IL-13, inducing alternatively activated macrophages or M2. Breast cancer associated tumor associated macrophages are mainly activated M2 macrophages. Thus, shifting the balance toward M1 macrophages will prevent tumor growth and enable T cell activation and killing, which is dependent on Th1 cytokines. We will target a key Th2 cytokine pathway, IL-4, and IL-13 to block macrophage immunosuppression with KROS 401, thereby allowing T cells to access tumors.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believe there are significant advantages to KROS 401 as our peptide binds to IL13R alpha1 and IL4R alpha1 (type I) receptor complex and blocks both IL-4 and IL-13 mediated signaling. The implication is that targeting IL-4Ralpha is predominantly for indications such as asthma or eczema, while the type I is for macrophages/tumor growth (esp IL13R). KROS 401 is in preclinical development.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 and Enviro-Licensed or -Acquired Products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Enviro’s product portfolio includes two therapeutic agents at different stages of clinical development.</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ENV 105 is a Phase 2 clinical stage therapeutic agent designed to address cancer progression. ENV 105 is an antibody therapeutic designed for use by prostate cancer patients resistant to androgen-targeted therapy, which is being tested in a Phase 2 clinical trial. We began accruing patients for the trial in September 2023. This multicenter randomized Phase 2 trial involving Cedars-Sinai Medical Center and City of Hope in Los Angeles California and Huntsman Cancer Center in Utah is testing the combination of a third-generation androgen targeted therapy, apalutamide (Janssen), with or without ENV 105 for prostate cancer patients that have developed resistance to at least one other androgen targeted inhibitor (NCT05534646). Dr. Edwin Posadas is the principal investigator of this multi-institutional trial. Dr. Posadas is Director of the Experimental Therapeutics Program and the Medical Director of the Urologic Oncology Program at the Samuel Oschin Comprehensive Cancer Institute at Cedars-Sinai Medical Center. Companion biomarkers for efficient selection of patients to potentially respond to the drug</w:t>
      </w:r>
    </w:p>
    <w:p>
      <w:pPr>
        <w:sectPr>
          <w:pgSz w:w="12240" w:h="15840" w:orient="portrait"/>
          <w:cols w:equalWidth="0" w:num="1">
            <w:col w:w="10080"/>
          </w:cols>
          <w:pgMar w:left="1080" w:top="1088" w:right="1080" w:bottom="156"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88" w:right="1080" w:bottom="156" w:gutter="0" w:footer="0" w:header="0"/>
          <w:type w:val="continuous"/>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9"/>
          <w:szCs w:val="19"/>
          <w:color w:val="auto"/>
        </w:rPr>
        <w:t>will be evaluated in this trial. The genetic biomarker potentially identifies responsive patients to ENV 105 prior to therapy for a future Phase 3 trial. The companion biomarker would require a separate approval by the FDA. Prostate cancer is the most common, non-cutaneous cancer affecting men in the United States and 1.2 million new cases registered worldwide. It is also the second leading cause of cancer death in American males. Androgen targeted therapy accounts for USD 15 billion in sales in 8 primary markets. Since nearly all patients eventually develop resistance to androgen targeted therapy, addressing this population with a drug targeting endoglin (ENV 105) is of high value for this single indication. In clinical trials, ENV 105 has been shown to be reasonably well-tolerated in patients as an adjunct to contemporary androgen targeted inhibitors (NCT03418324). Grade 3 hyponatremia, urinary retention, and cellulitis were noted on the abiraterone arm. None of these were attributed to the use of ENV105. No grade 3 events were noted on the enzalutamide arm. The most frequent grade 1-2 events occurring in at least two patients (listed as abiraterone, enzalutamide) included anemia, nausea, and gingival bleeding. Careful mechanism-of-action studies have revealed that ENV 105 impacts a more ubiquitous means of cancer drug resistance, cancer dormancy, the growth potential for this drug alone can be large. A Phase 1 EGFR antagonist resistant non-small cell lung cancer targeted therapy combination of Tagrisso (osimertinib, AstraZeneca) and ENV 105 is at Cedars-Sinai Medical Center. The principal investigator of this clinical trial is Dr. Karen L. Reckamp, Professor in Medicine, Director of the Division of Medical Oncology at Cedars-Sinai Medical Center. We also expect targeted therapies to contribute to the growth of the prostate and EGFR-dependent non-small cell lung cancer market, as immune therapies have not shown efficacy for these two cancer types.</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ENV 205, an antibody fragment targeting mitochondrial DNA was shown to limit chemotherapy resistant prostate cancer in preclinical studies. Mitochondrial DNA depletion limit inflammation-induced pro-tumorigenic activity and sensitizes prostate cancer to docetaxel. This biologic is a first of its kind strategy of chemotherapy sensitization. The development of chemotherapy resistance is an unfortunate eventuality for patients with solid tumors. ENV 205 has been shown to particularly sensitize tumors to docetaxel, a taxane class of chemotherapy. Docetaxel is used to treat several cancers such as stomach cancer, breast cancer, non-small-cell lung cancer, prostate, and head and neck cancer. Apart from restoring efficacy of docetaxel in certain resistant tumors, the use of ENV 205 allows for reduced dosing of the chemotherapy required to achieve the same tumor cell killing. This is paradigm shifting in patient quality of life, limiting the significant side-effects of chemotherapy. According to Business Research Insights, docetaxel market size $137 billion globally in 2024, and is expected to reach $329 billion by 2033.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Market Opportunity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Global cancer drug spending was valued at approximately $232 billion in 2024, and is expected to reach some $532 billion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2031 driven largely by the growth of targeted therapies and immuno-oncology (https://www.biospace.com/oncology-drugs-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market-to-reach-usd-532-91-billion-by-2031-coherent-market-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insights#:~:text=The%20global%20Oncology%20Drugs%20Market,report%20by%20Coherent%20Market%20Insights.).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Global immunotherapy market was valued at $226 billion by 2024 and is projected to grow at a CAGR of 11.9% from 2025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2030  (Grand View Research).  Increasing  patient  pool  and  higher  mortality  rates  are  augmenting the  need  for  cancer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immunotherapy globally. We are uniquely positioned to advance our immunotherapies that may have the potential to transform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way cancer is treated using antibodies that target CD105 to reverse drug resistance to prostate and lung cancer and activated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 cells that target cancer stem cells that are the root of glioblastoma. Our pipeline of immunotherapeutic agents that signals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growth of effector T cells against cancer, and reverse immunosuppression at the cancer site are being rapidly advanced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large unmet needs in cancer immunotherapy.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 105</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broad application of ENV 105 as a complementary drug to support standard of care cancer therapy for many cancer types has revealed numerous potential therapeutic strategies that have not been exhaustively explored in pre-clinical models. This is based on the identification that ENV 105 acts on both the cancer cells and cancer associated fibroblastic cells, thus it complements many cancer epithelia-directed therapies. However, we have focused on three indications in pre-clinical studies, two of which have matured to clinical trials: prostate cancer (Phase 2 with androgen signaling inhibitors), lung cancer (Phase 1 with EGFR antagonist), and head and neck cancer (preclinical with radiation or chemotherapy).</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u w:val="single" w:color="auto"/>
          <w:color w:val="auto"/>
        </w:rPr>
        <w:t>Prostate cancer</w:t>
      </w:r>
      <w:r>
        <w:rPr>
          <w:rFonts w:ascii="Times New Roman" w:cs="Times New Roman" w:eastAsia="Times New Roman" w:hAnsi="Times New Roman"/>
          <w:sz w:val="20"/>
          <w:szCs w:val="20"/>
          <w:color w:val="auto"/>
        </w:rPr>
        <w:t>: There are some 300,000 castrate resistant prostate cancer patients in the U.S. eligible to be given combination therapy of ENV 105 + androgen signaling inhibitors for $5,000 per month (based on comparable neutralizing antibodies). This would suggest a potential US$9 billion gross sales for ENV 105 for a six-month dose in the U.S. for this single indication. As a point of reference, androgen signaling inhibitors on their own make up $10 billion market inclusive of Sanofi; Johnson and Johnson Services, Inc.; Pfizer, Inc.; Astellas Pharma, Inc.; and Bayer AG - predicted to grow to $15 billion global market by 2027 of castrate resistant prostate cancer patients. None have been approved to extend efficacy apart from chemotherapy (docetaxel and cabazitaxel) with undesirable toxicity profiles.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88" w:right="1080" w:bottom="156" w:gutter="0" w:footer="0" w:header="0"/>
          <w:type w:val="continuous"/>
        </w:sectPr>
      </w:pPr>
    </w:p>
    <w:bookmarkStart w:id="9" w:name="page10"/>
    <w:bookmarkEnd w:id="9"/>
    <w:p>
      <w:pPr>
        <w:spacing w:after="0" w:line="235" w:lineRule="auto"/>
        <w:rPr>
          <w:sz w:val="20"/>
          <w:szCs w:val="20"/>
          <w:color w:val="auto"/>
        </w:rPr>
      </w:pPr>
      <w:r>
        <w:rPr>
          <w:rFonts w:ascii="Times New Roman" w:cs="Times New Roman" w:eastAsia="Times New Roman" w:hAnsi="Times New Roman"/>
          <w:sz w:val="20"/>
          <w:szCs w:val="20"/>
          <w:u w:val="single" w:color="auto"/>
          <w:color w:val="auto"/>
        </w:rPr>
        <w:t>Lung cancer</w:t>
      </w:r>
      <w:r>
        <w:rPr>
          <w:rFonts w:ascii="Times New Roman" w:cs="Times New Roman" w:eastAsia="Times New Roman" w:hAnsi="Times New Roman"/>
          <w:sz w:val="20"/>
          <w:szCs w:val="20"/>
          <w:color w:val="auto"/>
        </w:rPr>
        <w:t>: There are approximately 30,466 patients with an EGFR driven non-small cell lung cancer annually in the U.S. The incidence of EGFR driven NSCLC is most prevalent in non-smokers and those of east Asian descent, 35-40% of NSCLC</w:t>
      </w:r>
    </w:p>
    <w:p>
      <w:pPr>
        <w:spacing w:after="0" w:line="14" w:lineRule="exact"/>
        <w:rPr>
          <w:sz w:val="20"/>
          <w:szCs w:val="20"/>
          <w:color w:val="auto"/>
        </w:rPr>
      </w:pPr>
    </w:p>
    <w:p>
      <w:pPr>
        <w:jc w:val="both"/>
        <w:spacing w:after="0" w:line="238" w:lineRule="auto"/>
        <w:tabs>
          <w:tab w:leader="none" w:pos="1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341,633 patients annually in Asia (China, India, Japan, S. Korea, Thailand, Philippines). To determine lung cancer market share for ENV 105, the current market share for Tagrisso (US$3 billion annual sales for AstraZeneca) can be used as point of reference. Accordingly, ENV 105 could have a $1 billion market share in the U.S. as a combination therapy with EGFR antagonists to improve or extend its efficacy.</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u w:val="single" w:color="auto"/>
          <w:color w:val="auto"/>
        </w:rPr>
        <w:t>Head and neck cancer</w:t>
      </w:r>
      <w:r>
        <w:rPr>
          <w:rFonts w:ascii="Times New Roman" w:cs="Times New Roman" w:eastAsia="Times New Roman" w:hAnsi="Times New Roman"/>
          <w:sz w:val="20"/>
          <w:szCs w:val="20"/>
          <w:color w:val="auto"/>
        </w:rPr>
        <w:t>: The capacity for ENV105 to complement both radiation and chemotherapy would suggest future clinical application in many solid tumor types. For head and neck cancer, the World Health Organization estimates more than 550,000 new cases of and around 300,000 deaths per year. The rising consumption of alcohol and tobacco is a major factor behind estimated 7.9% increase in the head and neck cancer by 2030. The global head &amp; neck cancer drug market is estimated to reach $8.1 billion in 2031. (See https://www.ihealthcareanalyst.com/global-head-neck-squamous-cell-carcinoma-drugs-market/). Chemotherapy is the standard of care alone or in combination with radiation therapy, where toxicity is the greatest limitation. Administration of ENV 105 enables lower radiation dosing to improve quality of life.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KROS 101 and KROS 102</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Checkpoint inhibitors are immunotherapeutic agents that block proteins that suppress a potent immune response of the body against cancers and other “foreign” agents. KROS 101 and 102 are checkpoint inhibitors and agonists that enable T cells to expand and contract respectively. The global immune checkpoint inhibitor market size was $47.4 billion in 2023 and anticipated to be $189.1 billion in 2032 with a CAGR of 16,7% from 2024 to 2032 (Global Markets Insights; https://www.gminsights.com/industry-analysis/immune-checkpoint-inhibitors-market). According to the same report, there was a $22.9 billion immune checkpoint inhibitors market in North America as of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KROS 201</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KROS 201 is an activated T cell therapy that targets glioblastoma. T cell therapy market size is expected to be around $20.8 billion by 2030 from its value of $4.9 billion in 2021 with a CAGR of 20.4% during the forecast period 2022-2030 (Vision Research Reports).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KROS 301</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global small-molecule cancer therapies market size was valued at $175.3 billion in 2021 and is expected to have a CAGR of 5.44% from 2022 to 2030 (Grand View Research). KROS 301 is a small molecule that targets the NF-kB pathway in cancer to prevent cancer growth and block checkpoint inhibitor expression of PD-L1.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KROS 401</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global peptide therapeutics market size was $117.3 billion in 2024 and is estimated to grow CAGR of 10.77% from 2025 to 2030 (Grand View Research). KROS 401 is a cyclic peptide that blocks IL-4 and IL-13 receptors on tumor associated macrophage to reverse immune suppression at the tumor 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 205</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Cachexia is debilitating disease of muscle wasting not treatable by nutrition supplementation associated with the death of 50% of all cancer, 20% of AIDS, and 30% of COPD patients, according to [Argilés et al. (2023) Nature Reviews Clinical Oncology 20:250-264]. Cachexia is an underrecognized consequence of many chronic diseases. We believe ENV 205 is a molecule found to limit the process of muscle wasting through the capture and excretion of mitochondrial DNA in circulation. Cachexia is considered an orphan disease in the U.S. and Europe, increasing hospitalization costs and length of stay in several disease types. The specific cancer cachexia therapeutics market was over $2 billion in 2022 worldwide, with an estimated growth to to over $4 billion by 2032, according to Market.US. The application of ENV 205 as cachexia therapeutic is further supported by the demonstrated restoration of docetaxel therapy sensitivity in resistant prostate cancer models. Taxane-based therapy, inclusive of docetaxel, paclitaxel, and cabazataxel, is standard of care for majority of solid tumors (inclusive of breast cancer, non-small cell lung cancer, advanced stomach cancer, head and neck cancer and metastatic prostate cancer). Strong preclinical data suggest ENV 205 chemotherapy sensitization in a combination therapy setting and limit the development of cachexia as a single agent.</w:t>
      </w:r>
    </w:p>
    <w:p>
      <w:pPr>
        <w:spacing w:after="0" w:line="1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will aggressively pursue ENV 105 and ENV 205 in pre-clinical and clinical trials. Future therapeutic targets will be developed based on the overriding mission to complement traditional cancer-targeted drugs with those that address the tumor microenvironment.</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088" w:right="1080" w:bottom="156"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goal is to unlock the power of the immune system on the two most pervasive problems in cancer treatment: (i) resistance to therapy and (ii) immune suppression by cancer. We believe this road will lead to major improvement in the quality of life of cancer patients and will transform the outcomes of patients. We seek to develop cutting-edge therapeutics for cancer patients that reverse the inhibitory effects of cancer on the immune system. To this end, our strategy involves rapidly and efficiently advancing our existing portfolio of innovative products through clinical development and leveraging our current industry-leading team. The strategy consists of the following:</w:t>
      </w:r>
    </w:p>
    <w:p>
      <w:pPr>
        <w:spacing w:after="0" w:line="248" w:lineRule="exact"/>
        <w:rPr>
          <w:sz w:val="20"/>
          <w:szCs w:val="20"/>
          <w:color w:val="auto"/>
        </w:rPr>
      </w:pPr>
    </w:p>
    <w:p>
      <w:pPr>
        <w:jc w:val="both"/>
        <w:ind w:left="720" w:hanging="720"/>
        <w:spacing w:after="0" w:line="257" w:lineRule="auto"/>
        <w:tabs>
          <w:tab w:leader="none" w:pos="7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multi-pronged toolkit of potent and life changing therapeutics with differing modalities, targets, and stages of development. Their commonality is targeting key mechanisms of drug resistance and immune suppression by cancer.</w:t>
      </w:r>
    </w:p>
    <w:p>
      <w:pPr>
        <w:spacing w:after="0" w:line="55" w:lineRule="exact"/>
        <w:rPr>
          <w:rFonts w:ascii="Times New Roman" w:cs="Times New Roman" w:eastAsia="Times New Roman" w:hAnsi="Times New Roman"/>
          <w:sz w:val="19"/>
          <w:szCs w:val="19"/>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Leverage our academic research and clinical connections with our industry collaborations.</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enrollment of prostate patients in a randomized multi-institutional Phase 2 trial of ENV 105.</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enrollment in a Phase 1 trial of ENV105 for patients with non-small lung cancer on Tagrisso.</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a Phase 1 trial of activated T cell therapy for KROS 201 in patients with glioblastoma.</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pre-IND studies for the checkpoint inhibitor KROS 101.</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advance our pipeline of immunotherapeutics for clinical trials.</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portfolio of innovative therapeutics to mitigate risk.</w:t>
      </w:r>
    </w:p>
    <w:p>
      <w:pPr>
        <w:spacing w:after="0" w:line="7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Leverage virtual infrastructure for efficient execution of collaborative clinical and translational research.</w:t>
      </w:r>
    </w:p>
    <w:p>
      <w:pPr>
        <w:spacing w:after="0" w:line="7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Utilize internal development capabilities to leverage close academic partnerships.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particular, we intend to deploy an aggressive, three-pronged, growth strategy that we believe will help us develop our clinical pipeline and maximize our success, consisting of strategic partnerships, commercial development, and portfolio optimization.</w:t>
      </w:r>
    </w:p>
    <w:p>
      <w:pPr>
        <w:spacing w:after="0" w:line="230" w:lineRule="exact"/>
        <w:rPr>
          <w:sz w:val="20"/>
          <w:szCs w:val="20"/>
          <w:color w:val="auto"/>
        </w:rPr>
      </w:pPr>
    </w:p>
    <w:p>
      <w:pPr>
        <w:jc w:val="both"/>
        <w:ind w:left="360" w:hanging="360"/>
        <w:spacing w:after="0" w:line="237"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Strategic Partnerships </w:t>
      </w:r>
      <w:r>
        <w:rPr>
          <w:rFonts w:ascii="Times New Roman" w:cs="Times New Roman" w:eastAsia="Times New Roman" w:hAnsi="Times New Roman"/>
          <w:sz w:val="20"/>
          <w:szCs w:val="20"/>
          <w:color w:val="auto"/>
        </w:rPr>
        <w:t>- We will focus on expanding our existing pipeline through establishing strategic partnerships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companies that have interesting products and technologies. We intend to focus on novel, early-stage and preclinical assets in a variety of therapeutic areas.</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Commercial Development </w:t>
      </w:r>
      <w:r>
        <w:rPr>
          <w:rFonts w:ascii="Times New Roman" w:cs="Times New Roman" w:eastAsia="Times New Roman" w:hAnsi="Times New Roman"/>
          <w:sz w:val="20"/>
          <w:szCs w:val="20"/>
          <w:color w:val="auto"/>
        </w:rPr>
        <w:t>- We expect to participate and assist in the commercial development activities of its assets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strategic partners. Commercial development activities may include, but are not limited to, clinical development, market research, healthcare economics, market access, sales/marketing, and commercial launch strategies.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Portfolio Optimization </w:t>
      </w:r>
      <w:r>
        <w:rPr>
          <w:rFonts w:ascii="Times New Roman" w:cs="Times New Roman" w:eastAsia="Times New Roman" w:hAnsi="Times New Roman"/>
          <w:sz w:val="20"/>
          <w:szCs w:val="20"/>
          <w:color w:val="auto"/>
        </w:rPr>
        <w:t>- We will continue to evaluate, prioritize, optimize, and make appropriate changes in our pipeline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portfolio as market development dynamics and/or product opportunities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150495</wp:posOffset>
            </wp:positionV>
            <wp:extent cx="5943600" cy="2924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5943600" cy="2924175"/>
                    </a:xfrm>
                    <a:prstGeom prst="rect">
                      <a:avLst/>
                    </a:prstGeom>
                    <a:noFill/>
                  </pic:spPr>
                </pic:pic>
              </a:graphicData>
            </a:graphic>
          </wp:anchor>
        </w:drawing>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78" w:right="1080" w:bottom="156"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Our Team</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Company is led by our CEO and Chairman, Dr. John S. Yu, our Chief Scientific Officer, Dr. Neil Bhowmick, our Vice President of Research and Development, Dr. Ramachandran Murali, and our Chief Financial Officer, Mr. Doug Samuelson.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Dr. Yu is a Professor and Clinical Chief in the Department of Neurosurgery and Director of the Brain Tumor Center at Cedars-Sinai Medical Center in Los Angeles, California. Dr. Bhowmick is a Professor of the Department of Medicine and Director of the Cancer Biology Program at Cedars-Sinai Medical Center. Dr. Murali is a structural biologist at Cedars-Sinai Medical Center, and the inventor, with others, of three of the patented technologies licensed to Kairos.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Dr. Yu, Dr. Bhowmick and Dr. Murali have developed certain proprietary technology, and identified other proprietary technology developed by researchers and Cedars, that the Company will pursue for commercialization. Proprietary technology invented and developed by doctors and scientists and Cedars are owned by Cedars, and then optioned and/or licensed to such doctors and scientists, or other third parties, for commercialization in partnership with Cedars. Kairos and its subsidiary Enviro have multiple such options and/or license agreements with Cedars regarding proprietary technology that the Company is pursuing for commercialization, as described below.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of our patent rights are subject to the license agreements between the patent owner and the Company, described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Kairos Intellectual Property Agreements with Cedars-Sinai Medical Center</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Kairos has entered into four Exclusive License Agreements with Cedars-Sinai Medical Center, which are sometimes referred to as the Kairos-Cedars license agreements, which grant Kairos exclusive licensing rights (including the right to sublicense) with respect to certain patent rights owned by Cedars to the following:</w:t>
      </w:r>
    </w:p>
    <w:p>
      <w:pPr>
        <w:spacing w:after="0" w:line="236" w:lineRule="exact"/>
        <w:rPr>
          <w:sz w:val="20"/>
          <w:szCs w:val="20"/>
          <w:color w:val="auto"/>
        </w:rPr>
      </w:pPr>
    </w:p>
    <w:p>
      <w:pPr>
        <w:ind w:left="360" w:hanging="360"/>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 of generating activated T cells for cancer therapy, invented by Dr. John S. Yu and others.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Methods of use of compounds that bind to RelA of NFkB, invented by Dr. Ramanchandran Murali and others.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 and methods for treating fibrosis, invented by Dr. Ramanchandran Murali and others.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Compositions and methods for treating cancer and autoimmune diseases, invented by Dr. Ramanchandran Murali and others.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For the exclusive license agreement in item 1 above, Kairos is required to pay (i) an initial license fee in the mid five-figures upon the raising of $500,000 in capital, (ii) an annual maintenance fee in the low five-figures, (iii) royalties based on low single-digit percentage of patent product sales and less than one percent of other sales and (iv) other non-royalty sublicense fees ranging from a mid-single-digit to low double-digit percentage of such revenues shall be due and payable to Cedars, depending on the stage of FDA authorization at the time the sublicense revenue is generated. Non-royalty sublicense revenue would be between 5% and 35% depending on the phase of FDA testing of the product during which the sublicense agreement is signed.</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Kairos is required to make payments to Cedars based on the following milestones: (i) successful completion of Phase 1 clinical trial; (ii) the successful completion of Phase 2 clinical trial and receipt of U.S. Food and Drug Administration, or FDA, or equivalent regulatory agency in another jurisdiction approval for a Phase 3 clinical trial; (iii) receipt of FDA approval; and (iv) cumulative net sales exceeding $50,000,000. If all of these milestones are met, the required milestone payments will total $4,400,000.</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For each of the exclusive license agreement in items 2, 3 and 4 above, Kairos is required to (i) pay an initial license fee of $15,000, (ii) reimburse Cedars for patent protection costs ranging from the high four-figures to the mid-five-figures, (iii) pay an annual maintenance fee in the low five-figures and (iv) pay royalties based on a low single-digit percentage of net sales. The royalty obligations as to each product will terminate on a country-by-country basis concurrently with the expiration of the last to expire of a valid claim within the patent rights that covers such product, including any term extensions thereof. There are no non-royalty expiration dates. Patent expiration dates and specific jurisdictions of foreign patents that we in-license from Cedars-Sinai are listed in the Patent Table at page 100 below.</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78" w:right="1080" w:bottom="156"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Enviro Intellectual Property Agreements with Cedars-Sinai Medical Center</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March 16, 2020, Enviro entered into two Exclusive Option Agreements with Cedars-Sinai Medical Center that gives Enviro options to enter into an Exclusive Agreement with Cedars which would grant Enviro exclusive licensing rights (including the right to sublicense) to certain patent rights owned by Cedars with respect to (1) compositions and methods for treating diseases and conditions by depletion of mitochondrial DNA from circulation for detection of mitochondrial DNA, and (2) sensitization of tumors to therapies through endoglin antagonism.</w:t>
      </w:r>
    </w:p>
    <w:p>
      <w:pPr>
        <w:spacing w:after="0" w:line="2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consideration of these agreements, Enviro agreed to pay option fees of $2,000 and $3,000, respectively. Enviro’s options expire nine months from the effective date. On January 9, 2021 and January 11, 2021, the parties agreed to extend both nine-month option periods for an additional six months. In consideration of these extensions, Enviro agreed to pay an extension fee of $500, and $1,000, respectively. Enviro entered into two Exclusive License Agreements with Cedars-Sinai Medical Center on June 2, 2021. Enviro and Cedars entered into:</w:t>
      </w:r>
    </w:p>
    <w:p>
      <w:pPr>
        <w:spacing w:after="0" w:line="223" w:lineRule="exact"/>
        <w:rPr>
          <w:sz w:val="20"/>
          <w:szCs w:val="20"/>
          <w:color w:val="auto"/>
        </w:rPr>
      </w:pPr>
    </w:p>
    <w:p>
      <w:pPr>
        <w:jc w:val="both"/>
        <w:ind w:left="360" w:hanging="360"/>
        <w:spacing w:after="0" w:line="255" w:lineRule="auto"/>
        <w:tabs>
          <w:tab w:leader="none" w:pos="3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Exclusive License Agreement for Enviro to develop, manufacture, use and sell products utilized or derived from patent rights worldwide, which include one patent application in the United States related to the “Compositions and Methods for</w:t>
      </w:r>
    </w:p>
    <w:p>
      <w:pPr>
        <w:ind w:left="3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Treating  Diseases  and  Conditions  by  Depletion  of  Mitochondrial  DNA  from  Circulation  and  for  Detection  of</w:t>
      </w:r>
    </w:p>
    <w:p>
      <w:pPr>
        <w:spacing w:after="0" w:line="1" w:lineRule="exact"/>
        <w:rPr>
          <w:rFonts w:ascii="Times New Roman" w:cs="Times New Roman" w:eastAsia="Times New Roman" w:hAnsi="Times New Roman"/>
          <w:sz w:val="19"/>
          <w:szCs w:val="19"/>
          <w:color w:val="auto"/>
        </w:rPr>
      </w:pPr>
    </w:p>
    <w:p>
      <w:pPr>
        <w:ind w:left="3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Mitochondrial DNA” invented by Dr. Neil Bhowmick and others; and</w:t>
      </w:r>
    </w:p>
    <w:p>
      <w:pPr>
        <w:spacing w:after="0" w:line="81" w:lineRule="exact"/>
        <w:rPr>
          <w:rFonts w:ascii="Times New Roman" w:cs="Times New Roman" w:eastAsia="Times New Roman" w:hAnsi="Times New Roman"/>
          <w:sz w:val="19"/>
          <w:szCs w:val="19"/>
          <w:color w:val="auto"/>
        </w:rPr>
      </w:pPr>
    </w:p>
    <w:p>
      <w:pPr>
        <w:jc w:val="both"/>
        <w:ind w:left="360" w:hanging="360"/>
        <w:spacing w:after="0" w:line="238"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License Agreement for Enviro to develop, manufacture, use and sell products utilized or derived from the patent rights and technical information worldwide, which include six patent applications in the United States, Australia, Canada, China, Europe and Japan related to the “Sensitization of Tumors to Therapies Through Endoglin Antagonism” invented by Dr. Neil Bhowmick and others.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milestones agreed to were as follows:</w:t>
      </w:r>
    </w:p>
    <w:p>
      <w:pPr>
        <w:spacing w:after="0" w:line="211" w:lineRule="exact"/>
        <w:rPr>
          <w:sz w:val="20"/>
          <w:szCs w:val="20"/>
          <w:color w:val="auto"/>
        </w:rPr>
      </w:pPr>
    </w:p>
    <w:p>
      <w:pPr>
        <w:ind w:left="360" w:hanging="360"/>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studies within two years of the effective date, as stipulated in the agreement thereof (the</w:t>
      </w:r>
    </w:p>
    <w:p>
      <w:pPr>
        <w:spacing w:after="0" w:line="1"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Date”);</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toxicology studies within two and a half years of the Effective Date;</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IND within three years of the Effective Date;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the Phase 1 trial within four years of the Effective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date of this Annual Report, we have completed milestones 1, 2 and 3.</w:t>
      </w:r>
    </w:p>
    <w:p>
      <w:pPr>
        <w:spacing w:after="0" w:line="2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Pursuant to the two Enviro-Cedars license agreements, Enviro must meet certain milestones relating commercialization, and, if not met or extended, Cedars may convert the exclusive licenses into non-exclusive licenses or to co-exclusive licenses, or terminate the licenses. In exchange for each of the licenses, Enviro is obligated to pay an upfront license fee, plus an additional fee when Enviro has raised at least $250,000 in capital company-wide for any program or purpose; provided, however, that the Company will only have to pay such fee once between both Enviro-Cedars license agreements. Enviro was also obligated to reimburse Cedars for the costs incurred for the prosecution of the patent rights subject to the Enviro-Cedars license agreements prior to the date of execution of such agreements. The aggregate potential fees that Enviro may have to pay in exchange for the licenses is approximately $690,000 as of December 31, 2024. Together, Kairos and Enviro owed a total of approximately $950,000 to Cedars, of which $750,000 was converted into 312,500 shares of common stock, or 60% of the IPO price, upon closing of the IPO. And on November 13, 2024, an additional $200,000 was converted into 150,830 shares of common stock, using a conversion price equal to 60% of the closing price on November 13, 2024. Cedars will also be entitled to receive royalty payments of a mid-single-digit percentage of net sales of products associated with the licensed patent right and less than one percent of net sales of other products derived from Cedars’ technical information, with a minimum royalty year in the low five-digits due beginning on the third anniversary of the effective date of the license. To the extent Enviro derives non-royalty sublicensing revenues, a high single-digit to low double-digit percentage of such revenues shall be due and payable to Cedars, depending on the stage of FDA authorization at the time the sublicense revenue is generated. Non-royalty sublicense revenue would be between 5% and 35% depending on the phase of FDA testing of the product during which the sublicense agreement is signed.</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Enviro shall pay Cedars in connection with achieving certain milestones relating to products derived from the patent rights: (i) successful completion of Phase 1 clinical trial; (ii) successful completion of Phase 2 clinical trial, receipt of FDA approval, and approval for a Phase 3 clinical trial; (iii) FDA approval of a new drug application or biologics license applications; and (iv) cumulative net sales exceeding $100,000,000. The maximum aggregate milestone payment for ENV 105 will be $7,150,000 when cumulative net sales have exceeded $100,000,000. The last-to-expire of licensed patents is scheduled to expire on June 14, 2037. Patent expiration dates, specific jurisdictions of foreign patents are listed in the Patent Table above.</w:t>
      </w:r>
    </w:p>
    <w:p>
      <w:pPr>
        <w:sectPr>
          <w:pgSz w:w="12240" w:h="15840" w:orient="portrait"/>
          <w:cols w:equalWidth="0" w:num="1">
            <w:col w:w="10080"/>
          </w:cols>
          <w:pgMar w:left="1080" w:top="1078" w:right="1080" w:bottom="156"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78" w:right="1080" w:bottom="156" w:gutter="0" w:footer="0" w:header="0"/>
          <w:type w:val="continuous"/>
        </w:sectPr>
      </w:pPr>
    </w:p>
    <w:bookmarkStart w:id="13" w:name="page14"/>
    <w:bookmarkEnd w:id="13"/>
    <w:p>
      <w:pPr>
        <w:jc w:val="both"/>
        <w:spacing w:after="0"/>
        <w:rPr>
          <w:sz w:val="20"/>
          <w:szCs w:val="20"/>
          <w:color w:val="auto"/>
        </w:rPr>
      </w:pPr>
      <w:r>
        <w:rPr>
          <w:rFonts w:ascii="Times New Roman" w:cs="Times New Roman" w:eastAsia="Times New Roman" w:hAnsi="Times New Roman"/>
          <w:sz w:val="20"/>
          <w:szCs w:val="20"/>
          <w:color w:val="auto"/>
        </w:rPr>
        <w:t>The Enviro-Cedars license agreements will, unless sooner terminated, continue in effect on a country-by-country basis until the last to expire of the patents covering the patent rights or future patent rights. Under the terms of the Enviro-Cedars license agreements, unless waived by Cedars, the agreement shall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of Enviro fails to undertake commercially reasonable efforts to exploit the patent rights or future patent rights; (d) within 60 days of Enviro’s failure to cure any breach or default of a material obligation under the agreements (e) within 90 days of Enviro’s failure to cure any breach or default of a material obligation under the agreements; or (f) upon mutual written agreement of the parties.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Effective April 17, 2025, Enviro, Kairos and Cedars entered into a novation agreement pursuant to which the exclusive license was transferred from Enviro to Kairos, after which time Kairos accepted and assumed all obligations and liabilities under the exclusive license agreements and Enviro was relived of any further liabilities or obligations under the license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Supply Agreement with Tracon Pharmaceuticals, Inc.</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May 21, 2021, Enviro, the Company’s formerly wholly-owned subsidiary, entered into an Enviro-Tracon license agreement with Tracon. Pursuant to the Enviro-Tracon license agreement, Tracon grants to Enviro access to inactive IND filings for “TRC105” in the United States, ownership of “TRC105” stored vials of drug product manufactured to GMP standards stored at Fisher Clinical or their designee, and assignment of Tracon’s patent rights to its “CD105 technologies.”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Pursuant to the Enviro-Tracon license agreement, Enviro paid Tracon an upfront fee of $100,000, and was obligated to pay Tracon an additional $500,000 upon its or its successor’s completion of one or more financings through the sale of equity (or debt convertible to equity) in an amount of $10,000,000, and an additional $500,000 within 10 days of its or its successor’s completion of one or more financings through the sale of equity (or debt convertible to equity) in an amount of $22,000,000. In addition, Enviro was obligated to pay Tracon a royalty of 3% of net sales on a country-by-country basis of the products subject to the agreement, and non-royalty payments of 3% of consideration for sublicensing fees. The royalty payments would terminate upon the completion of use of the TRC105 product. The non-royalty payments would terminate upon payment of $500,000 after the financing of an aggregate amount of $22,000,000 to the Company.</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Prior to becoming a wholly-owned subsidiary of the Company, Enviro issued Tracon equity ownership in Enviro equal to a number of shares of restricted common stock of Enviro equal to 7% on a fully diluted and converted basis of all common and preferred shares of Enviro. Thereafter, in connection with the Enviro-Kairos share exchange, the parties agreed that Tracon would receive, in exchange for its Enviro common stock, 280,000 shares of the restricted common stock of Kairos (which was then equal to 1.41229% of the issued and outstanding shares of Kairos on a fully diluted and converted basis). Under the Enviro-Tracon license agreement, until such time as Tracon has received all of the cash consideration (as described above), Enviro or its successor in interest, shall issue to Tracon, without further consideration, any additional common stock of Enviro, or such successor in interest, necessary so that Tracon maintains ownership of shares of Enviro, or such successor in interest, equal to the Tracon-Enviro Equity on a fully diluted and converted basis of all stock in Enviro (or its successor). However, as of the date of this Annual Report, all Tracon shares in Kairos have been sold and Tracon no longer has an ownership interest in Kairos.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Pursuant to the Enviro-Tracon license agreement, which was assumed by Kairos effective April 17, 2025 pursuant to a novation agreement, we have exclusive licensing rights (which include the right to sublicense) to eight issued U.S. patents, four U.S. Utility or provisional patent applications, 24 issued patents and 24 patent applications in foreign jurisdictions. Patent expiration dates, specific jurisdictions of foreign patents are listed in the Patent Table below.</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88" w:right="1080" w:bottom="156"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PATENT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Products or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which the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 (Patent</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Patents 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Case</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or</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Number.Sub</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No./Application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0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Case</w:t>
            </w:r>
          </w:p>
        </w:tc>
        <w:tc>
          <w:tcPr>
            <w:tcW w:w="10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the Patent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Relate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100" w:type="dxa"/>
            <w:vAlign w:val="bottom"/>
          </w:tcPr>
          <w:p>
            <w:pPr>
              <w:spacing w:after="0"/>
              <w:rPr>
                <w:sz w:val="18"/>
                <w:szCs w:val="18"/>
                <w:color w:val="auto"/>
              </w:rPr>
            </w:pPr>
          </w:p>
        </w:tc>
        <w:tc>
          <w:tcPr>
            <w:tcW w:w="19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DateJurisdiction</w:t>
            </w:r>
          </w:p>
        </w:tc>
      </w:tr>
      <w:tr>
        <w:trPr>
          <w:trHeight w:val="20"/>
        </w:trPr>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30"/>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017431.501AU0 SENSITIZATION</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2017286561</w:t>
            </w:r>
          </w:p>
        </w:tc>
        <w:tc>
          <w:tcPr>
            <w:tcW w:w="1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105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2037-06-    Australia</w:t>
            </w: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OF TUMORS TO</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THERAPIES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THROUGH</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ENDOGLIN</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ANTAGONISM</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017313.004CA0  COMPOSITIONS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3,108,796</w:t>
            </w:r>
          </w:p>
        </w:tc>
        <w:tc>
          <w:tcPr>
            <w:tcW w:w="1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KROS 101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2039-08-    Canada</w:t>
            </w: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and KROS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08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 AND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AUTOIMMUNE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017313.005CA0  METHOD OF</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3,150,273</w:t>
            </w:r>
          </w:p>
        </w:tc>
        <w:tc>
          <w:tcPr>
            <w:tcW w:w="1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KROS 201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2040-08-    Canada</w:t>
            </w: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GENERATING</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ACTIVATED T</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CELLS FOR</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THERAPY</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017431.501CA0  SENSITIZATION</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3026066</w:t>
            </w:r>
          </w:p>
        </w:tc>
        <w:tc>
          <w:tcPr>
            <w:tcW w:w="1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105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2037-06-    Canada</w:t>
            </w:r>
          </w:p>
        </w:tc>
      </w:tr>
      <w:tr>
        <w:trPr>
          <w:trHeight w:val="233"/>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OF TUMORS TO</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THERAPIES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THROUGH</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ENDOGLIN</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ANTAGONISM</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017431.502CA0  COMPOSITIONS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3162518</w:t>
            </w:r>
          </w:p>
        </w:tc>
        <w:tc>
          <w:tcPr>
            <w:tcW w:w="1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205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1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2040-11-    Canada</w:t>
            </w: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 AND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CONDITIONS BY</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DEPLETION OF</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w w:val="98"/>
              </w:rPr>
              <w:t>MITOCHONDRIAL</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849630</wp:posOffset>
                </wp:positionH>
                <wp:positionV relativeFrom="paragraph">
                  <wp:posOffset>-4575810</wp:posOffset>
                </wp:positionV>
                <wp:extent cx="28575" cy="127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8" o:spid="_x0000_s1033" style="position:absolute;margin-left:66.9pt;margin-top:-360.29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2817495</wp:posOffset>
                </wp:positionH>
                <wp:positionV relativeFrom="paragraph">
                  <wp:posOffset>-4569460</wp:posOffset>
                </wp:positionV>
                <wp:extent cx="635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85pt,-359.7999pt" to="226.85pt,-359.7999pt" o:allowincell="f" strokecolor="#FFFFFF" strokeweight="0.9883pt"/>
            </w:pict>
          </mc:Fallback>
        </mc:AlternateContent>
      </w:r>
    </w:p>
    <w:p>
      <w:pPr>
        <w:ind w:left="1440"/>
        <w:spacing w:after="0"/>
        <w:rPr>
          <w:sz w:val="20"/>
          <w:szCs w:val="20"/>
          <w:color w:val="auto"/>
        </w:rPr>
      </w:pPr>
      <w:r>
        <w:rPr>
          <w:rFonts w:ascii="Times New Roman" w:cs="Times New Roman" w:eastAsia="Times New Roman" w:hAnsi="Times New Roman"/>
          <w:sz w:val="20"/>
          <w:szCs w:val="20"/>
          <w:color w:val="auto"/>
        </w:rPr>
        <w:t>OR GENOMIC</w:t>
      </w:r>
    </w:p>
    <w:p>
      <w:pPr>
        <w:spacing w:after="0" w:line="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DNA FROM</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CIRCULATION</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78" w:right="1080" w:bottom="156"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Products or</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 which the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 (Patent</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Patents or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Case</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or</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Number.Sub</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No./Application</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6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Applications</w:t>
            </w: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Case</w:t>
            </w:r>
          </w:p>
        </w:tc>
        <w:tc>
          <w:tcPr>
            <w:tcW w:w="120" w:type="dxa"/>
            <w:vAlign w:val="bottom"/>
          </w:tcPr>
          <w:p>
            <w:pPr>
              <w:spacing w:after="0"/>
              <w:rPr>
                <w:sz w:val="18"/>
                <w:szCs w:val="18"/>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the Patent</w:t>
            </w:r>
          </w:p>
        </w:tc>
        <w:tc>
          <w:tcPr>
            <w:tcW w:w="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Relate</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80" w:type="dxa"/>
            <w:vAlign w:val="bottom"/>
          </w:tcPr>
          <w:p>
            <w:pPr>
              <w:spacing w:after="0"/>
              <w:rPr>
                <w:sz w:val="18"/>
                <w:szCs w:val="18"/>
                <w:color w:val="auto"/>
              </w:rPr>
            </w:pPr>
          </w:p>
        </w:tc>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28"/>
        </w:trPr>
        <w:tc>
          <w:tcPr>
            <w:tcW w:w="312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017313.004CN1  COMPOSITIONS</w:t>
            </w:r>
          </w:p>
        </w:tc>
        <w:tc>
          <w:tcPr>
            <w:tcW w:w="60" w:type="dxa"/>
            <w:vAlign w:val="bottom"/>
          </w:tcPr>
          <w:p>
            <w:pPr>
              <w:spacing w:after="0"/>
              <w:rPr>
                <w:sz w:val="19"/>
                <w:szCs w:val="19"/>
                <w:color w:val="auto"/>
              </w:rPr>
            </w:pPr>
          </w:p>
        </w:tc>
        <w:tc>
          <w:tcPr>
            <w:tcW w:w="3940" w:type="dxa"/>
            <w:vAlign w:val="bottom"/>
            <w:gridSpan w:val="5"/>
          </w:tcPr>
          <w:p>
            <w:pPr>
              <w:spacing w:after="0" w:line="229" w:lineRule="exact"/>
              <w:rPr>
                <w:sz w:val="20"/>
                <w:szCs w:val="20"/>
                <w:color w:val="auto"/>
              </w:rPr>
            </w:pPr>
            <w:r>
              <w:rPr>
                <w:rFonts w:ascii="Times New Roman" w:cs="Times New Roman" w:eastAsia="Times New Roman" w:hAnsi="Times New Roman"/>
                <w:sz w:val="20"/>
                <w:szCs w:val="20"/>
                <w:color w:val="auto"/>
              </w:rPr>
              <w:t>2024104360758.0  APPLICATION KROS 101</w:t>
            </w:r>
          </w:p>
        </w:tc>
        <w:tc>
          <w:tcPr>
            <w:tcW w:w="60" w:type="dxa"/>
            <w:vAlign w:val="bottom"/>
          </w:tcPr>
          <w:p>
            <w:pPr>
              <w:spacing w:after="0"/>
              <w:rPr>
                <w:sz w:val="19"/>
                <w:szCs w:val="19"/>
                <w:color w:val="auto"/>
              </w:rPr>
            </w:pPr>
          </w:p>
        </w:tc>
        <w:tc>
          <w:tcPr>
            <w:tcW w:w="9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line="229" w:lineRule="exact"/>
              <w:rPr>
                <w:sz w:val="20"/>
                <w:szCs w:val="20"/>
                <w:color w:val="auto"/>
              </w:rPr>
            </w:pPr>
            <w:r>
              <w:rPr>
                <w:rFonts w:ascii="Times New Roman" w:cs="Times New Roman" w:eastAsia="Times New Roman" w:hAnsi="Times New Roman"/>
                <w:sz w:val="20"/>
                <w:szCs w:val="20"/>
                <w:color w:val="auto"/>
              </w:rPr>
              <w:t>2039-08-</w:t>
            </w:r>
          </w:p>
        </w:tc>
        <w:tc>
          <w:tcPr>
            <w:tcW w:w="80" w:type="dxa"/>
            <w:vAlign w:val="bottom"/>
          </w:tcPr>
          <w:p>
            <w:pPr>
              <w:spacing w:after="0"/>
              <w:rPr>
                <w:sz w:val="19"/>
                <w:szCs w:val="19"/>
                <w:color w:val="auto"/>
              </w:rPr>
            </w:pPr>
          </w:p>
        </w:tc>
        <w:tc>
          <w:tcPr>
            <w:tcW w:w="9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China</w:t>
            </w: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and KROS</w:t>
            </w: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08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 AND</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AUTOIMMUNE</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017431.501CN0  SENSITIZATION</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201780050000.4</w:t>
            </w:r>
          </w:p>
        </w:tc>
        <w:tc>
          <w:tcPr>
            <w:tcW w:w="10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105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2037-06-</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OF TUMORS TO</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14</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THERAPIES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THROUGH</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ENDOGLIN</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ANTAGONISM</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w w:val="98"/>
              </w:rPr>
              <w:t>35882-714.7111</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ANTIBODY</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201810659773.9</w:t>
            </w:r>
          </w:p>
        </w:tc>
        <w:tc>
          <w:tcPr>
            <w:tcW w:w="10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105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2033-09-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FORMULATIONS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05</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(People’s</w:t>
            </w: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USES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Republic)</w:t>
            </w: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THEREOF</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017313.004EP0</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COMPOSITIONS</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19848154.1</w:t>
            </w:r>
          </w:p>
        </w:tc>
        <w:tc>
          <w:tcPr>
            <w:tcW w:w="10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KROS 101</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2039-08-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European</w:t>
            </w: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and KROS</w:t>
            </w: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08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 AND</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AUTOIMMUNE</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DESEASES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017313.005EP0</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METHOD OF</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20850517.2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2040-08-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European</w:t>
            </w: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GENERATING</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10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ACTIVATED T</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CELLS FOR</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THERAPY</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KROS 201</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017431.501EP0</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SENSITIZATION</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17814046.3</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2037-06-</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European</w:t>
            </w: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OF TUMORS TO</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14</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THERAPIES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THROUGH</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ENDOGLIN</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ANTAGONISM</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105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017431.502EP0</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COMPOSITIONS</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20893032.1</w:t>
            </w:r>
          </w:p>
        </w:tc>
        <w:tc>
          <w:tcPr>
            <w:tcW w:w="10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ENV 205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2040-11-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European</w:t>
            </w: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Product and 25</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r>
      <w:tr>
        <w:trPr>
          <w:trHeight w:val="231"/>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a Method</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 AND</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CONDITIONS BY</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DEPLETION OF</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w w:val="98"/>
              </w:rPr>
              <w:t>MITOCHONDRIAL</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OR GENOMIC</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4521200</wp:posOffset>
                </wp:positionH>
                <wp:positionV relativeFrom="paragraph">
                  <wp:posOffset>-6489700</wp:posOffset>
                </wp:positionV>
                <wp:extent cx="32385" cy="127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 cy="12700"/>
                        </a:xfrm>
                        <a:prstGeom prst="rect">
                          <a:avLst/>
                        </a:prstGeom>
                        <a:solidFill>
                          <a:srgbClr val="FFFFFF"/>
                        </a:solidFill>
                      </wps:spPr>
                      <wps:bodyPr/>
                    </wps:wsp>
                  </a:graphicData>
                </a:graphic>
              </wp:anchor>
            </w:drawing>
          </mc:Choice>
          <mc:Fallback>
            <w:pict>
              <v:rect id="Shape 10" o:spid="_x0000_s1035" style="position:absolute;margin-left:356pt;margin-top:-511pt;width:2.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left="1440"/>
        <w:spacing w:after="0"/>
        <w:rPr>
          <w:sz w:val="20"/>
          <w:szCs w:val="20"/>
          <w:color w:val="auto"/>
        </w:rPr>
      </w:pPr>
      <w:r>
        <w:rPr>
          <w:rFonts w:ascii="Times New Roman" w:cs="Times New Roman" w:eastAsia="Times New Roman" w:hAnsi="Times New Roman"/>
          <w:sz w:val="20"/>
          <w:szCs w:val="20"/>
          <w:color w:val="auto"/>
        </w:rPr>
        <w:t>DNA FROM</w:t>
      </w:r>
    </w:p>
    <w:p>
      <w:pPr>
        <w:spacing w:after="0" w:line="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CIRCULATION</w:t>
      </w:r>
    </w:p>
    <w:p>
      <w:pPr>
        <w:sectPr>
          <w:pgSz w:w="12240" w:h="15840" w:orient="portrait"/>
          <w:cols w:equalWidth="0" w:num="1">
            <w:col w:w="10080"/>
          </w:cols>
          <w:pgMar w:left="1080" w:top="1079"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79" w:right="1080" w:bottom="156"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Products or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 which the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 (Patent</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Patents or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Case</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or</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Number.Sub</w:t>
            </w:r>
          </w:p>
        </w:tc>
        <w:tc>
          <w:tcPr>
            <w:tcW w:w="140" w:type="dxa"/>
            <w:vAlign w:val="bottom"/>
          </w:tcPr>
          <w:p>
            <w:pPr>
              <w:spacing w:after="0"/>
              <w:rPr>
                <w:sz w:val="18"/>
                <w:szCs w:val="18"/>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the</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No./Application</w:t>
            </w: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2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20" w:type="dxa"/>
            <w:vAlign w:val="bottom"/>
          </w:tcPr>
          <w:p>
            <w:pPr>
              <w:spacing w:after="0"/>
              <w:rPr>
                <w:sz w:val="18"/>
                <w:szCs w:val="18"/>
                <w:color w:val="auto"/>
              </w:rPr>
            </w:pPr>
          </w:p>
        </w:tc>
      </w:tr>
      <w:tr>
        <w:trPr>
          <w:trHeight w:val="212"/>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Case</w:t>
            </w:r>
          </w:p>
        </w:tc>
        <w:tc>
          <w:tcPr>
            <w:tcW w:w="140" w:type="dxa"/>
            <w:vAlign w:val="bottom"/>
          </w:tcPr>
          <w:p>
            <w:pPr>
              <w:spacing w:after="0"/>
              <w:rPr>
                <w:sz w:val="18"/>
                <w:szCs w:val="18"/>
                <w:color w:val="auto"/>
              </w:rPr>
            </w:pPr>
          </w:p>
        </w:tc>
        <w:tc>
          <w:tcPr>
            <w:tcW w:w="14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Patent</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Relate</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8"/>
              </w:rPr>
              <w:t>017313.002EP0</w:t>
            </w:r>
          </w:p>
        </w:tc>
        <w:tc>
          <w:tcPr>
            <w:tcW w:w="14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METHODS AND</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3303286</w:t>
            </w:r>
          </w:p>
        </w:tc>
        <w:tc>
          <w:tcPr>
            <w:tcW w:w="1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301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2036-06-01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USE OF</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COMPOUNDS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THAT BIND TO</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&amp;</w:t>
            </w:r>
          </w:p>
        </w:tc>
      </w:tr>
      <w:tr>
        <w:trPr>
          <w:trHeight w:val="208"/>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RELA OF NF-KB</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Liechtenstein,</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United</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8"/>
              </w:rPr>
              <w:t>017313.003EP0</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3194446</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401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2035-09-18</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08"/>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FIBROSIS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&amp;</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Liechtenstein,</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United</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35882-714.741</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ANTIBODY</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w w:val="98"/>
              </w:rPr>
              <w:t>1538/DELNP/2015</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ENV 105</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2033-09-05</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FORMULATIONS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USES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THEREOF</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35882-</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ANTIBODY</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6445671</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ENV 105</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2033-09-05</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714.7611</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FORMULATIONS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USES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THEREOF</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35882-</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ANTIBODY</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6602446</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ENV 105</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2033-09-05</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714.7612</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FORMULATIONS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USES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THEREOF</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017313.003JP0</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7095990</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401</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2035-09-18</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FIBROSIS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017313.003JP1</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2020-148662</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8"/>
              </w:rPr>
              <w:t>APPLICATION</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401</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2035-09-18</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FIBROSIS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017313.004JP0</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7530346</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101</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2039-08-08</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7"/>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and KROS</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CANCER AND</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AUTOIMMUNE</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017313.004JP1</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2024-120839</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8"/>
              </w:rPr>
              <w:t>APPLICATION</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101</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2039-08-08</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and KROS</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CANCER AND</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AUTOIMMUNE</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017431.501JP0</w:t>
            </w: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SENSITIZATION</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7092684</w:t>
            </w:r>
          </w:p>
        </w:tc>
        <w:tc>
          <w:tcPr>
            <w:tcW w:w="1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ENV 105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2037-06-14</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OF TUMORS TO</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THERAPIES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THROUGH</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ENDOGLIN</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ANTAGONISM</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734060</wp:posOffset>
                </wp:positionH>
                <wp:positionV relativeFrom="paragraph">
                  <wp:posOffset>-7299960</wp:posOffset>
                </wp:positionV>
                <wp:extent cx="28575" cy="1206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FFFFFF"/>
                        </a:solidFill>
                      </wps:spPr>
                      <wps:bodyPr/>
                    </wps:wsp>
                  </a:graphicData>
                </a:graphic>
              </wp:anchor>
            </w:drawing>
          </mc:Choice>
          <mc:Fallback>
            <w:pict>
              <v:rect id="Shape 11" o:spid="_x0000_s1036" style="position:absolute;margin-left:57.8pt;margin-top:-574.7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1735455</wp:posOffset>
                </wp:positionH>
                <wp:positionV relativeFrom="paragraph">
                  <wp:posOffset>-7293610</wp:posOffset>
                </wp:positionV>
                <wp:extent cx="781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65pt,-574.2999pt" to="142.8pt,-574.2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-7293610</wp:posOffset>
                </wp:positionV>
                <wp:extent cx="7747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574.2999pt" to="285.3pt,-574.2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4277995</wp:posOffset>
                </wp:positionH>
                <wp:positionV relativeFrom="paragraph">
                  <wp:posOffset>-7293610</wp:posOffset>
                </wp:positionV>
                <wp:extent cx="7810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85pt,-574.2999pt" to="343pt,-574.2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5010785</wp:posOffset>
                </wp:positionH>
                <wp:positionV relativeFrom="paragraph">
                  <wp:posOffset>-7293610</wp:posOffset>
                </wp:positionV>
                <wp:extent cx="7810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5pt,-574.2999pt" to="400.7pt,-574.2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5678805</wp:posOffset>
                </wp:positionH>
                <wp:positionV relativeFrom="paragraph">
                  <wp:posOffset>-7293610</wp:posOffset>
                </wp:positionV>
                <wp:extent cx="7747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15pt,-574.2999pt" to="453.25pt,-574.2999pt" o:allowincell="f" strokecolor="#FFFFFF" strokeweight="0.9882pt"/>
            </w:pict>
          </mc:Fallback>
        </mc:AlternateContent>
      </w:r>
    </w:p>
    <w:p>
      <w:pPr>
        <w:sectPr>
          <w:pgSz w:w="12240" w:h="15840" w:orient="portrait"/>
          <w:cols w:equalWidth="0" w:num="1">
            <w:col w:w="10080"/>
          </w:cols>
          <w:pgMar w:left="1080" w:top="1079"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79" w:right="1080" w:bottom="156"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Products or</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 which the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 (Patent</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Patents or</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Case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 or</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Number.Sub</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No./Application</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8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8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Case</w:t>
            </w:r>
          </w:p>
        </w:tc>
        <w:tc>
          <w:tcPr>
            <w:tcW w:w="140" w:type="dxa"/>
            <w:vAlign w:val="bottom"/>
          </w:tcPr>
          <w:p>
            <w:pPr>
              <w:spacing w:after="0"/>
              <w:rPr>
                <w:sz w:val="18"/>
                <w:szCs w:val="18"/>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the Patent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Relate</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80" w:type="dxa"/>
            <w:vAlign w:val="bottom"/>
          </w:tcPr>
          <w:p>
            <w:pPr>
              <w:spacing w:after="0"/>
              <w:rPr>
                <w:sz w:val="18"/>
                <w:szCs w:val="18"/>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28"/>
        </w:trPr>
        <w:tc>
          <w:tcPr>
            <w:tcW w:w="14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017431.502JP0</w:t>
            </w:r>
          </w:p>
        </w:tc>
        <w:tc>
          <w:tcPr>
            <w:tcW w:w="16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COMPOSITIONS</w:t>
            </w:r>
          </w:p>
        </w:tc>
        <w:tc>
          <w:tcPr>
            <w:tcW w:w="132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0"/>
                <w:szCs w:val="20"/>
                <w:color w:val="auto"/>
              </w:rPr>
              <w:t>2022-530781</w:t>
            </w:r>
          </w:p>
        </w:tc>
        <w:tc>
          <w:tcPr>
            <w:tcW w:w="120" w:type="dxa"/>
            <w:vAlign w:val="bottom"/>
          </w:tcPr>
          <w:p>
            <w:pPr>
              <w:spacing w:after="0"/>
              <w:rPr>
                <w:sz w:val="19"/>
                <w:szCs w:val="19"/>
                <w:color w:val="auto"/>
              </w:rPr>
            </w:pPr>
          </w:p>
        </w:tc>
        <w:tc>
          <w:tcPr>
            <w:tcW w:w="242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APPLICATION ENV 205</w:t>
            </w:r>
          </w:p>
        </w:tc>
        <w:tc>
          <w:tcPr>
            <w:tcW w:w="80" w:type="dxa"/>
            <w:vAlign w:val="bottom"/>
          </w:tcPr>
          <w:p>
            <w:pPr>
              <w:spacing w:after="0"/>
              <w:rPr>
                <w:sz w:val="19"/>
                <w:szCs w:val="19"/>
                <w:color w:val="auto"/>
              </w:rPr>
            </w:pPr>
          </w:p>
        </w:tc>
        <w:tc>
          <w:tcPr>
            <w:tcW w:w="10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Both a</w:t>
            </w:r>
          </w:p>
        </w:tc>
        <w:tc>
          <w:tcPr>
            <w:tcW w:w="80" w:type="dxa"/>
            <w:vAlign w:val="bottom"/>
          </w:tcPr>
          <w:p>
            <w:pPr>
              <w:spacing w:after="0"/>
              <w:rPr>
                <w:sz w:val="19"/>
                <w:szCs w:val="19"/>
                <w:color w:val="auto"/>
              </w:rPr>
            </w:pPr>
          </w:p>
        </w:tc>
        <w:tc>
          <w:tcPr>
            <w:tcW w:w="192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2040-11-   Japan</w:t>
            </w: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 AND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CONDITIONS BY</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DEPLETION OF</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w w:val="98"/>
              </w:rPr>
              <w:t>MITOCHONDRIAL</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OR GENOMIC</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DNA FROM</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CIRCULATION</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017313.004KR0</w:t>
            </w: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COMPOSITIONS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10-2021-</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KROS 101</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2039-08-   Korea,</w:t>
            </w: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7006602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and KROS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08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Republic</w:t>
            </w: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of (KR)</w:t>
            </w:r>
          </w:p>
        </w:tc>
      </w:tr>
      <w:tr>
        <w:trPr>
          <w:trHeight w:val="231"/>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 AND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AUTOIMMUNE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017313.004KR1</w:t>
            </w: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COMPOSITIONS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10-2025-</w:t>
            </w:r>
          </w:p>
        </w:tc>
        <w:tc>
          <w:tcPr>
            <w:tcW w:w="1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APPLICATION KROS 101</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2039-08-   Korea,</w:t>
            </w: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METHODS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7000546</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and KROS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08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Republic</w:t>
            </w: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 TREATING</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of (KR)</w:t>
            </w:r>
          </w:p>
        </w:tc>
      </w:tr>
      <w:tr>
        <w:trPr>
          <w:trHeight w:val="231"/>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CANCER AND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AUTOIMMUNE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DISEASES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35882-714.911</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ANTIBODY</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MY-180157-A</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ENV 105</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8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2033-09-   Malaysia</w:t>
            </w: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FORMULATIONS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USES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THEREOF</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35882-714.781</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ANTIBODY</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368996</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ENV 105</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Both a</w:t>
            </w:r>
          </w:p>
        </w:tc>
        <w:tc>
          <w:tcPr>
            <w:tcW w:w="8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2033-09-   Mexico</w:t>
            </w:r>
          </w:p>
        </w:tc>
      </w:tr>
      <w:tr>
        <w:trPr>
          <w:trHeight w:val="231"/>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FORMULATIONS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AND USES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 Method of</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THEREOF</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79" w:right="1080" w:bottom="156"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Products or</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to which the</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Status (Patent</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Patents or</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Case</w:t>
            </w: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or</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Number.Sub</w:t>
            </w: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No./Application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Applications</w:t>
            </w:r>
          </w:p>
        </w:tc>
        <w:tc>
          <w:tcPr>
            <w:tcW w:w="80" w:type="dxa"/>
            <w:vAlign w:val="bottom"/>
          </w:tcPr>
          <w:p>
            <w:pPr>
              <w:spacing w:after="0"/>
              <w:rPr>
                <w:sz w:val="18"/>
                <w:szCs w:val="18"/>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Type of Patent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 of the Patent</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Relate</w:t>
            </w:r>
          </w:p>
        </w:tc>
        <w:tc>
          <w:tcPr>
            <w:tcW w:w="80" w:type="dxa"/>
            <w:vAlign w:val="bottom"/>
          </w:tcPr>
          <w:p>
            <w:pPr>
              <w:spacing w:after="0"/>
              <w:rPr>
                <w:sz w:val="18"/>
                <w:szCs w:val="18"/>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Protection</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28"/>
        </w:trPr>
        <w:tc>
          <w:tcPr>
            <w:tcW w:w="13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35882-714.861</w:t>
            </w:r>
          </w:p>
        </w:tc>
        <w:tc>
          <w:tcPr>
            <w:tcW w:w="60" w:type="dxa"/>
            <w:vAlign w:val="bottom"/>
          </w:tcPr>
          <w:p>
            <w:pPr>
              <w:spacing w:after="0"/>
              <w:rPr>
                <w:sz w:val="19"/>
                <w:szCs w:val="19"/>
                <w:color w:val="auto"/>
              </w:rPr>
            </w:pPr>
          </w:p>
        </w:tc>
        <w:tc>
          <w:tcPr>
            <w:tcW w:w="164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0"/>
                <w:szCs w:val="20"/>
                <w:color w:val="auto"/>
              </w:rPr>
              <w:t>ANTIBODY</w:t>
            </w:r>
          </w:p>
        </w:tc>
        <w:tc>
          <w:tcPr>
            <w:tcW w:w="1300" w:type="dxa"/>
            <w:vAlign w:val="bottom"/>
            <w:gridSpan w:val="2"/>
          </w:tcPr>
          <w:p>
            <w:pPr>
              <w:ind w:left="80"/>
              <w:spacing w:after="0" w:line="229" w:lineRule="exact"/>
              <w:rPr>
                <w:sz w:val="20"/>
                <w:szCs w:val="20"/>
                <w:color w:val="auto"/>
              </w:rPr>
            </w:pPr>
            <w:r>
              <w:rPr>
                <w:rFonts w:ascii="Times New Roman" w:cs="Times New Roman" w:eastAsia="Times New Roman" w:hAnsi="Times New Roman"/>
                <w:sz w:val="20"/>
                <w:szCs w:val="20"/>
                <w:color w:val="auto"/>
              </w:rPr>
              <w:t>1501001224</w:t>
            </w:r>
          </w:p>
        </w:tc>
        <w:tc>
          <w:tcPr>
            <w:tcW w:w="120" w:type="dxa"/>
            <w:vAlign w:val="bottom"/>
          </w:tcPr>
          <w:p>
            <w:pPr>
              <w:spacing w:after="0"/>
              <w:rPr>
                <w:sz w:val="19"/>
                <w:szCs w:val="19"/>
                <w:color w:val="auto"/>
              </w:rPr>
            </w:pPr>
          </w:p>
        </w:tc>
        <w:tc>
          <w:tcPr>
            <w:tcW w:w="238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APPLICATION ENV 105</w:t>
            </w:r>
          </w:p>
        </w:tc>
        <w:tc>
          <w:tcPr>
            <w:tcW w:w="80" w:type="dxa"/>
            <w:vAlign w:val="bottom"/>
          </w:tcPr>
          <w:p>
            <w:pPr>
              <w:spacing w:after="0"/>
              <w:rPr>
                <w:sz w:val="19"/>
                <w:szCs w:val="19"/>
                <w:color w:val="auto"/>
              </w:rPr>
            </w:pPr>
          </w:p>
        </w:tc>
        <w:tc>
          <w:tcPr>
            <w:tcW w:w="12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Both a Product</w:t>
            </w:r>
          </w:p>
        </w:tc>
        <w:tc>
          <w:tcPr>
            <w:tcW w:w="960" w:type="dxa"/>
            <w:vAlign w:val="bottom"/>
            <w:gridSpan w:val="2"/>
          </w:tcPr>
          <w:p>
            <w:pPr>
              <w:ind w:left="80"/>
              <w:spacing w:after="0" w:line="229" w:lineRule="exact"/>
              <w:rPr>
                <w:sz w:val="20"/>
                <w:szCs w:val="20"/>
                <w:color w:val="auto"/>
              </w:rPr>
            </w:pPr>
            <w:r>
              <w:rPr>
                <w:rFonts w:ascii="Times New Roman" w:cs="Times New Roman" w:eastAsia="Times New Roman" w:hAnsi="Times New Roman"/>
                <w:sz w:val="20"/>
                <w:szCs w:val="20"/>
                <w:color w:val="auto"/>
              </w:rPr>
              <w:t>2033-09-</w:t>
            </w:r>
          </w:p>
        </w:tc>
        <w:tc>
          <w:tcPr>
            <w:tcW w:w="80" w:type="dxa"/>
            <w:vAlign w:val="bottom"/>
          </w:tcPr>
          <w:p>
            <w:pPr>
              <w:spacing w:after="0"/>
              <w:rPr>
                <w:sz w:val="19"/>
                <w:szCs w:val="19"/>
                <w:color w:val="auto"/>
              </w:rPr>
            </w:pPr>
          </w:p>
        </w:tc>
        <w:tc>
          <w:tcPr>
            <w:tcW w:w="9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Thailand</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FORMULATIONS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and a Method</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AND USES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of Treatment</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THEREOF</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Patent</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35882-706.202</w:t>
            </w: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ENDOGLIN</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8,221,753</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ENV 105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Product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2030-03-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ANTIBODIES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1"/>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35882-706.302</w:t>
            </w: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ENDOGLIN</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9,150,652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ENV 105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Method of</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2029-09-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ANTIBODIES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3"/>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35882-706.401</w:t>
            </w: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ENDOGLIN</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9,944,714</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ENV 105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Composition</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2030-03-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ANTIBODIES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of matter</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1"/>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35882-714.831</w:t>
            </w: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ANTIBODY</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10,195,281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ENV 105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Product and</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2034-12-</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FORMULATIONS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Formulation</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AND USES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1"/>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THEREOF</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017313.002US0</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METHODS AND</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10,881,641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KROS 301</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Method of</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2037-11-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USE OF</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1"/>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COMPOUNDS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THAT BIND TO</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RELA OF NF-KB</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1"/>
        </w:trPr>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017313.002US1</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METHODS AND</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10,195,281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KROS 301</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Method of</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2037-11-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USE OF</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treatment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COMPOUNDS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THAT BIND TO</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RELA OF NF-KB</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017313.003US0</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COMPOSITIONS</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10,245,298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KROS 401</w:t>
            </w:r>
          </w:p>
        </w:tc>
        <w:tc>
          <w:tcPr>
            <w:tcW w:w="8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Pharmaceutical 2035-09-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United</w:t>
            </w:r>
          </w:p>
        </w:tc>
      </w:tr>
      <w:tr>
        <w:trPr>
          <w:trHeight w:val="231"/>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AND METHODS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composition</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States of</w:t>
            </w:r>
          </w:p>
        </w:tc>
      </w:tr>
      <w:tr>
        <w:trPr>
          <w:trHeight w:val="233"/>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 TREATING</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America</w:t>
            </w:r>
          </w:p>
        </w:tc>
      </w:tr>
      <w:tr>
        <w:trPr>
          <w:trHeight w:val="232"/>
        </w:trPr>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FIBROSIS</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2725420</wp:posOffset>
                </wp:positionH>
                <wp:positionV relativeFrom="paragraph">
                  <wp:posOffset>-4569460</wp:posOffset>
                </wp:positionV>
                <wp:extent cx="7810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6pt,-359.7999pt" to="220.75pt,-359.7999pt" o:allowincell="f" strokecolor="#FFFFFF" strokeweight="0.9882pt"/>
            </w:pict>
          </mc:Fallback>
        </mc:AlternateContent>
      </w:r>
    </w:p>
    <w:p>
      <w:pPr>
        <w:sectPr>
          <w:pgSz w:w="12240" w:h="15840" w:orient="portrait"/>
          <w:cols w:equalWidth="0" w:num="1">
            <w:col w:w="10080"/>
          </w:cols>
          <w:pgMar w:left="1080" w:top="1079"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079" w:right="1080" w:bottom="156"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Products or</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 which the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Status (Patent</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Patents or</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or</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Number.Sub</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No./Application</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4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Patent</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20" w:type="dxa"/>
            <w:vAlign w:val="bottom"/>
          </w:tcPr>
          <w:p>
            <w:pPr>
              <w:spacing w:after="0"/>
              <w:rPr>
                <w:sz w:val="18"/>
                <w:szCs w:val="18"/>
                <w:color w:val="auto"/>
              </w:rPr>
            </w:pPr>
          </w:p>
        </w:tc>
      </w:tr>
      <w:tr>
        <w:trPr>
          <w:trHeight w:val="212"/>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Case</w:t>
            </w:r>
          </w:p>
        </w:tc>
        <w:tc>
          <w:tcPr>
            <w:tcW w:w="180" w:type="dxa"/>
            <w:vAlign w:val="bottom"/>
          </w:tcPr>
          <w:p>
            <w:pPr>
              <w:spacing w:after="0"/>
              <w:rPr>
                <w:sz w:val="18"/>
                <w:szCs w:val="18"/>
                <w:color w:val="auto"/>
              </w:rPr>
            </w:pPr>
          </w:p>
        </w:tc>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the Patent</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Relate</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0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017313.003US1</w:t>
            </w:r>
          </w:p>
        </w:tc>
        <w:tc>
          <w:tcPr>
            <w:tcW w:w="18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11,547,738</w:t>
            </w:r>
          </w:p>
        </w:tc>
        <w:tc>
          <w:tcPr>
            <w:tcW w:w="18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401</w:t>
            </w:r>
          </w:p>
        </w:tc>
        <w:tc>
          <w:tcPr>
            <w:tcW w:w="14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2035-09-18</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States of</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America</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FIBROSIS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017313.003US2</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18/093,667</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APPLICATION</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401</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2035-09-18</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States of</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America</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FIBROSIS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017313.004US0</w:t>
            </w: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17/266,488</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APPLICATION</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101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2039-08-08</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w:t>
            </w:r>
          </w:p>
        </w:tc>
      </w:tr>
      <w:tr>
        <w:trPr>
          <w:trHeight w:val="208"/>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and KROS</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States of</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America</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CANCER AND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AUTOIMMUNE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DISEASES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017313.005US0</w:t>
            </w: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17/633,505</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APPLICATION</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KROS 201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2040-08-10</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w:t>
            </w:r>
          </w:p>
        </w:tc>
      </w:tr>
      <w:tr>
        <w:trPr>
          <w:trHeight w:val="207"/>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GENERATING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States of</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ACTIVATED 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America</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CELLS FOR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CANCER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THERAPY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017431.501US1</w:t>
            </w: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SENSITIZATION</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17/685,040</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APPLICATION</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ENV 105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2037-06-14</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w:t>
            </w:r>
          </w:p>
        </w:tc>
      </w:tr>
      <w:tr>
        <w:trPr>
          <w:trHeight w:val="207"/>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TUMORS TO</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States of</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THERAPIES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America</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THROUGH</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ENDOGLIN</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ANTAGONISM</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017431.502US0</w:t>
            </w: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17/779,716</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APPLICATION</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ENV 205</w:t>
            </w: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Both a</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2040-11-25</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w:t>
            </w:r>
          </w:p>
        </w:tc>
      </w:tr>
      <w:tr>
        <w:trPr>
          <w:trHeight w:val="208"/>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AND METHODS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Product and a</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States of</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FOR TREATING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Method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America</w:t>
            </w: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DISEASES AND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Treatment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CONDITIONS BY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Patent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DEPLETION OF</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747395</wp:posOffset>
                </wp:positionH>
                <wp:positionV relativeFrom="paragraph">
                  <wp:posOffset>-4378325</wp:posOffset>
                </wp:positionV>
                <wp:extent cx="1111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12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85pt,-344.7499pt" to="67.6pt,-344.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1823720</wp:posOffset>
                </wp:positionH>
                <wp:positionV relativeFrom="paragraph">
                  <wp:posOffset>-4378325</wp:posOffset>
                </wp:positionV>
                <wp:extent cx="8636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3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6pt,-344.7499pt" to="150.4pt,-344.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2684145</wp:posOffset>
                </wp:positionH>
                <wp:positionV relativeFrom="paragraph">
                  <wp:posOffset>-4384675</wp:posOffset>
                </wp:positionV>
                <wp:extent cx="28575" cy="127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20" o:spid="_x0000_s1045" style="position:absolute;margin-left:211.35pt;margin-top:-345.2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3543935</wp:posOffset>
                </wp:positionH>
                <wp:positionV relativeFrom="paragraph">
                  <wp:posOffset>-4378325</wp:posOffset>
                </wp:positionV>
                <wp:extent cx="8699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05pt,-344.7499pt" to="285.9pt,-344.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4293235</wp:posOffset>
                </wp:positionH>
                <wp:positionV relativeFrom="paragraph">
                  <wp:posOffset>-4378325</wp:posOffset>
                </wp:positionV>
                <wp:extent cx="8699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05pt,-344.7499pt" to="344.9pt,-344.7499pt" o:allowincell="f" strokecolor="#FFFFFF" strokeweight="0.9882pt"/>
            </w:pict>
          </mc:Fallback>
        </mc:AlternateContent>
      </w:r>
    </w:p>
    <w:p>
      <w:pPr>
        <w:ind w:left="1360"/>
        <w:spacing w:after="0"/>
        <w:rPr>
          <w:sz w:val="20"/>
          <w:szCs w:val="20"/>
          <w:color w:val="auto"/>
        </w:rPr>
      </w:pPr>
      <w:r>
        <w:rPr>
          <w:rFonts w:ascii="Times New Roman" w:cs="Times New Roman" w:eastAsia="Times New Roman" w:hAnsi="Times New Roman"/>
          <w:sz w:val="18"/>
          <w:szCs w:val="18"/>
          <w:color w:val="auto"/>
        </w:rPr>
        <w:t>MITOCHONDRIAL</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OR GENOMIC</w:t>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DNA FROM</w:t>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CIRCULATION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Reorganization</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Kairos Pharma, Ltd. was originally incorporated on June 17, 2013 in the state of California as NanoGB13, Inc. The Company changed its name to “Kairos Pharma, Ltd.” on July 15, 2016. On May 10, 2023, we filed a certificate of conversion with the Secretary of State of the State of California, and on the same date, we also filed with the Delaware Secretary of State a certificate of conversion converting the Company from a non-Delaware corporation to a Delaware corporation pursuant to section 265 of the Delaware General Corporation Law t. In addition, on May 10, 2023, we filed a certificate of incorporation with the Secretary of State of the State of Delaware, thus completing our conversion into a Delaware corporation. In conjunction with the Company’s conversion into a Delaware corporation, on May 10, 2023, the Company conducted a 1-for-2.5 Reverse Stock Split. After the Reverse Stock Split, there were 10,334,357 shares of our common stock outstanding.</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November 13, 2019, Kairos entered into an Agreement of Merger with AcTcell Biopharma, Inc., or AcTcell, whereby the Company issued 5,045,000 shares of its common stock for all the issued and outstanding shares of AcTcell common stock. AcTcell was a California corporation that was incorporated on July 22, 2019. AcTcell’s only asset at the merger date was an Exclusive License Agreement dated August 30, 2019 between AcTcell and Cedars-Sinai Medical Center. AcTcell had no liabilities at the merger date.</w:t>
      </w:r>
    </w:p>
    <w:p>
      <w:pPr>
        <w:sectPr>
          <w:pgSz w:w="12240" w:h="15840" w:orient="portrait"/>
          <w:cols w:equalWidth="0" w:num="1">
            <w:col w:w="10080"/>
          </w:cols>
          <w:pgMar w:left="1080" w:top="1079"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079" w:right="1080" w:bottom="156" w:gutter="0" w:footer="0" w:header="0"/>
          <w:type w:val="continuous"/>
        </w:sectPr>
      </w:pPr>
    </w:p>
    <w:bookmarkStart w:id="20" w:name="page21"/>
    <w:bookmarkEnd w:id="20"/>
    <w:p>
      <w:pPr>
        <w:jc w:val="both"/>
        <w:spacing w:after="0" w:line="238" w:lineRule="auto"/>
        <w:rPr>
          <w:sz w:val="20"/>
          <w:szCs w:val="20"/>
          <w:color w:val="auto"/>
        </w:rPr>
      </w:pPr>
      <w:r>
        <w:rPr>
          <w:rFonts w:ascii="Times New Roman" w:cs="Times New Roman" w:eastAsia="Times New Roman" w:hAnsi="Times New Roman"/>
          <w:sz w:val="20"/>
          <w:szCs w:val="20"/>
          <w:color w:val="auto"/>
        </w:rPr>
        <w:t>John S. Yu, the Company’s Chairman, Chief Executive Officer and shareholder, was the sole owner of AcTcell. The acquisition of AcTcell by Kairos was treated as a transaction between entities under common control resulting in the historical costs basis of AcTcell’s assets and liabilities being recognized.</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Enviro was incorporated on November 15, 2019, under the law of the state of California and was an early-stage company that is focused on the development of therapeutics targeting the tumor microenvironment to complement conventional and targeted therapies designed against the cancer cells. Kairos’s Chairman, Chief Executive Officer and shareholder, Dr. Yu, was also a founder and shareholder of Enviro.</w:t>
      </w:r>
    </w:p>
    <w:p>
      <w:pPr>
        <w:spacing w:after="0" w:line="2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June 3, 2021, Kairos and Enviro entered into a share exchange agreement whereby Kairos acquired of all of the common stock of Enviro in exchange for stock in Kairos. In the Enviro-Kairos share exchange, the Enviro shareholders exchanged 100% of the issued and outstanding shares of Enviro (on a fully diluted basis) for 6,000,000 shares of newly issued restricted common stock of Kairos, which, as of the closing of the Enviro-Kairos share exchange: (i) represented approximately twenty percent (20%) of the outstanding shares of capital stock of the Company on a fully diluted basis, including all issued and outstanding convertible promissory notes, preferred stock, SAFEs, other securities convertible into capital stock, stock options and warrants, and after giving effect to the issuance of the shares in the Enviros-Kairos share exchange, and (ii) have voting power approximately equal to twenty percent (20%) of all shares eligible to vote on matters by the shareholders of Kairos. At the closing of the Enviro-Kairos share exchange, Kairos issued each of Dr. Yu and Dr. Neil Bhowmick (the other co-founder of Enviro) 1,860,000 of Kairos’ restricted common stock in exchange for their shares of Enviro. Kairos also issued Tracon Pharmaceutical, Inc., an unaffiliated third party, 280,000 shares of Kairos restricted common stock in exchange from their shares of Enviro, which Tracon had received pursuant to a license and supply agreement between Enviro and Tracon, pursuant to which Enviro had acquired certain licensing rights from Tracon.</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At the closing of the Enviro-Kairos share exchange, prior to our 1-for-2.5 reverse split conducted in 2023 and including the newly issued shares in that transaction, Kairos had approximately 19,825,957 shares of common stock issued and outstanding on a fully diluted basis (including 18,825,957 outstanding shares of common stock, and 1,000,000 warrants exercisable into 1,000,000 shares of common stock).</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Effective April 17, 2025, the Company entered into novation agreements with Enviro and Enviro’s licensors, Tracon and Cedars-Sinai Medical Center, pursuant to which the Company assumed all responsibilities, liabilities and obligations of Enviro under such agreements and Enviro was released from all liability. At the same time, Enviro was dissolved.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do not currently own or operate manufacturing facilities for the production of clinical or commercial quantities of our product candidates. When we begin manufacturing, we intend to use vendors that are compliant with current cGMP, in pharmaceutical production. We expect that commercial quantities of any compound and materials for our product candidates, if approved, will be manufactured in facilities and by processes that comply with FDA and other regulations.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of December 31, 2025, we had one full-time employee, our Chief Financial Officer, and three part-time employees (including our executive officers), each of whom is a part-time employee primarily engaged in research and development activities, and all hold M.D. or Ph.D. degrees. Aside from our Chief Financial Officer, all officers and directors of the Company worked approximately 20 hours per week in performance of their duties related to the Company. We consider our relationship with our employees to be good. None of our employees is subject to a collective bargaining agreement.</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243" w:lineRule="exact"/>
        <w:rPr>
          <w:sz w:val="20"/>
          <w:szCs w:val="20"/>
          <w:color w:val="auto"/>
        </w:rPr>
      </w:pPr>
    </w:p>
    <w:p>
      <w:pPr>
        <w:jc w:val="both"/>
        <w:ind w:left="360" w:hanging="360"/>
        <w:spacing w:after="0" w:line="239" w:lineRule="auto"/>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Talent development, compensation, and retention: </w:t>
      </w:r>
      <w:r>
        <w:rPr>
          <w:rFonts w:ascii="Times New Roman" w:cs="Times New Roman" w:eastAsia="Times New Roman" w:hAnsi="Times New Roman"/>
          <w:sz w:val="20"/>
          <w:szCs w:val="20"/>
          <w:color w:val="auto"/>
        </w:rPr>
        <w:t>We strive to provide our employees with a rewarding work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environment, including the opportunity for growth, success, and professional development. We provide a competitive compensation and benefits package, including bonus and equity incentive plans, a 401(k) plan-all designed to attract and retain a skilled and diverse workforce.</w:t>
      </w:r>
    </w:p>
    <w:p>
      <w:pPr>
        <w:spacing w:after="0" w:line="82"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Health and safety: </w:t>
      </w:r>
      <w:r>
        <w:rPr>
          <w:rFonts w:ascii="Times New Roman" w:cs="Times New Roman" w:eastAsia="Times New Roman" w:hAnsi="Times New Roman"/>
          <w:sz w:val="20"/>
          <w:szCs w:val="20"/>
          <w:color w:val="auto"/>
        </w:rPr>
        <w:t>We support the health and safety of our employees by providing comprehensive insurance benefits,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assistance program, company-paid holidays, a personal time-off program, and other additional benefits which are intended to assist employees to manage their well-being.</w:t>
      </w:r>
    </w:p>
    <w:p>
      <w:pPr>
        <w:sectPr>
          <w:pgSz w:w="12240" w:h="15840" w:orient="portrait"/>
          <w:cols w:equalWidth="0" w:num="1">
            <w:col w:w="10080"/>
          </w:cols>
          <w:pgMar w:left="1080" w:top="1088" w:right="1080" w:bottom="156"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88" w:right="1080" w:bottom="156" w:gutter="0" w:footer="0" w:header="0"/>
          <w:type w:val="continuous"/>
        </w:sectPr>
      </w:pPr>
    </w:p>
    <w:bookmarkStart w:id="21" w:name="page22"/>
    <w:bookmarkEnd w:id="21"/>
    <w:p>
      <w:pPr>
        <w:ind w:left="360" w:hanging="360"/>
        <w:spacing w:after="0" w:line="235"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Inclusion and diversity: </w:t>
      </w:r>
      <w:r>
        <w:rPr>
          <w:rFonts w:ascii="Times New Roman" w:cs="Times New Roman" w:eastAsia="Times New Roman" w:hAnsi="Times New Roman"/>
          <w:sz w:val="20"/>
          <w:szCs w:val="20"/>
          <w:color w:val="auto"/>
        </w:rPr>
        <w:t>We are committed to efforts to increase diversity and foster an inclusive work environment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supports our workforce.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Financings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Initial Public Offering</w:t>
      </w:r>
    </w:p>
    <w:p>
      <w:pPr>
        <w:spacing w:after="0" w:line="2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September 17, 2024, we closed on our initial public offering (“IPO”) of 1,550,000 shares of common stock at $4.00 per share, for gross proceeds of $6,200,000, following our listing on the NYSE American LLC, or NYSE American. Our IPO was underwritten by Boustead Securities, LLC, acting as lead underwriter, with the underwriters receiving 7% cash compensation and warrants to purchase a total of 108,500 shares of common stock, exercisable at $4.80 per share.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Line of Credit Agreement</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November 12, 2024, the Company and Helena Global Investment Opportunities I Ltd (“Helena”) entered into an equity line of credit agreement (the “ELOC Agreement”), pursuant to which Helena agreed to purchase from the Company up to $30,000 shares of common stock (the “ELOC Shares”). The Company issued 670,641 shares of restricted common stock (the “Commitment Fee Shares”), valued at $900,000 (the “Issuance Value”) on the date of issuance, to Helena as the “Commitment Fee” for entry into the ELOC Agreement. The ELOC Agreement will be available for the Company’s use at such time following the filing, and subsequent effectiveness, of a resale registration statement registering the ELOC Shares for resale. Upon the effectiveness of the resale registration statement (the “Effective Date”), the Commitment Fee shares will be subject to a “true-up” pursuant to which, in the event the shares are valued at less than Issuance Value on the Effective Date, additional shares will be issued to Helena to bring ensure the ELOC Shares equal the Issuance Value on the Effective Date.</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ELOC Agreement will terminate upon the following events: (i) the first day of the month next following the 36-month anniversary of the date of the ELOC Agreement or (ii) the date on which Helena has purchased the full $30,000,000 of ELOC Shares.</w:t>
      </w:r>
    </w:p>
    <w:p>
      <w:pPr>
        <w:spacing w:after="0" w:line="2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ELOC Agreement may be terminated by the Company after its commencement, at the Company’s discretion, provided that there are no advance notices outstanding for which common stock has yet to be issued, and the Company has paid all amounts owed to Helena under the ELOC Agreement, including the Commitment Fee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January 2025 PIPE Offering</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14, 2025, the Company entered into a securities purchase agreement (the “Purchase Agreement”) and registration rights agreement (the “Registration Rights Agreement”) with the investor name therein (the “Investor”) for the sale and issuance of 2,500,000 units (the “Pre-Funded Units”), with each Pre-Funded Unit consisting of a Pre-Funded Warrant to purchase one share of common stock, exercisable for $0.001 per share, and a Common Warrant to purchase one and one half shares of common stock, exercisable at $1.40 per share (the “January 2025 PIPE Offering”).</w:t>
      </w:r>
    </w:p>
    <w:p>
      <w:pPr>
        <w:spacing w:after="0" w:line="2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advance of closing, on January 16, 2025, the Company and the Investor entered into an amended and restated purchase agreement (the “A&amp;R Purchase Agreement”), which amended the terms of the Purchase Agreement to include a requirement that the Company obtain shareholder approval prior to issuing in excess of 19.99% of the Company’s common stock and also amended the Common Warrants to make them immediately exercisable and reduce the exercise period from 5.5 years to five years. Other terms of the agreements remained the same.</w:t>
      </w:r>
    </w:p>
    <w:p>
      <w:pPr>
        <w:spacing w:after="0" w:line="2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January 16, 2025, the Company closed the January 2025 PIPE Offering for gross proceeds of $3,497,500 (or $1.399 per Pre-Funded Unit), with an additional $2,500 payable upon the Investor’s exercise of the Pre-Funded Warrants in full.</w:t>
      </w:r>
    </w:p>
    <w:p>
      <w:pPr>
        <w:spacing w:after="0" w:line="2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Boustead Securities, LLC (“Boustead”) and D. Boral Capital LLC (“D. Boral”) acted as co-placement agents for the January 2025 PIPE Offering. In conjunction therewith, on January 16, 2025, the Company entered into a Placement Agent Agreement with Boustead (the “Placement Agent Agreement”). Under the terms of the Placement Agent Agreement, at closing the Company paid the Placement Agents (i) a cash commission equal to 8% of the gross proceeds (including a 1% non-accountable expense fee) and (ii) warrants to purchase a total of 175,000 shares of common stock, exercisable at $1.40 per share, with the total cash and warrant compensation split equally between Boustead and D. Boral.</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20, 2025, the Company obtained the approval of 55.4% of the shareholders (the “Majority Shareholders”) for the issuance in excess of 19.99% of the Company’s common stock at a price below market value, in compliance with Rule 713 of the NYSE American LLC Company Guide. On February 10, 2025, the Company filed the definitive Schedule 14C and the shareholder approval became effective on March 1, 2025.</w:t>
      </w:r>
    </w:p>
    <w:p>
      <w:pPr>
        <w:sectPr>
          <w:pgSz w:w="12240" w:h="15840" w:orient="portrait"/>
          <w:cols w:equalWidth="0" w:num="1">
            <w:col w:w="10080"/>
          </w:cols>
          <w:pgMar w:left="1080" w:top="1088" w:right="1080" w:bottom="156"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88" w:right="1080" w:bottom="156"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u w:val="single" w:color="auto"/>
          <w:color w:val="auto"/>
        </w:rPr>
        <w:t>January 2026 At-the-Market Offering</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12, 2026, we entered into an at-the-market (“ATM”) offering agreement (the “ATM Agreement”) with H.C. Wainwright Co., LLC (the “Placement Agent”) for the sale, from time to time, of up to $4,524,949 shares of our common stock. We registered the common stock offered under the ATM pursuant to prospectus supplement filed in conjunction with our shelf registration statement on Form S-3 (SEC File No. 333-292686), which was declared effective on January 23, 2026. Pursuant to the ATM Agreement, the Placement Agent is entitled to a placement agent fee of 3.0% of the gross sale price of shares sold under the ATM.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are a small development-stage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a small development-stage biopharmaceutical company with a limited operating history and no products approved for commercial sale. There can be no assurance that we will, or if we do, when we will, obtain approval to commercialize our products and potentially generate revenue. We have incurred significant losses since our inception and we expect to incur losses over the next several years and may never achieve or maintain profitability. 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2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will need to obtain substantial additional funding in connection with our continuing operations and planned activities. Our future capital requirements will depend on many factors, including:</w:t>
      </w:r>
    </w:p>
    <w:p>
      <w:pPr>
        <w:spacing w:after="0" w:line="236" w:lineRule="exact"/>
        <w:rPr>
          <w:sz w:val="20"/>
          <w:szCs w:val="20"/>
          <w:color w:val="auto"/>
        </w:rPr>
      </w:pPr>
    </w:p>
    <w:p>
      <w:pPr>
        <w:ind w:left="360" w:hanging="360"/>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progress, and results of our ongoing and future clinical trials of our current in-development products;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our current in-development products and any of our future product candidates;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identifying, obtaining, and conducting preclinical development, laboratory testing, and clinical trials of future product candidates that we may pursue;</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timetable of manufacturing processes for development, clinical trials, and potential commercial use;</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development requirements of future product candidates that we may pursue;</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funding that we receive under our non-dilutive funding opportunities, including government awards and government awards, if any, that we may apply for;</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future commercialization activities, including product manufacturing, marketing, sales, and distribution, for our current in-development products or any future product candidates that receive marketing approval;</w:t>
      </w:r>
    </w:p>
    <w:p>
      <w:pPr>
        <w:spacing w:after="0" w:line="8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and revenue, if any, received from commercial sales of our current in-development products or any future product candidates that receive marketing approval;</w:t>
      </w:r>
    </w:p>
    <w:p>
      <w:pPr>
        <w:spacing w:after="0" w:line="8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current in-development products and any of our future product candidates, if approved, may not achieve commercial success. Our commercial revenues, if any, will be derived from sales of drugs that we do not expect to be commercially available for several years, if at all. Accordingly, we will need to continue to</w:t>
      </w:r>
    </w:p>
    <w:p>
      <w:pPr>
        <w:sectPr>
          <w:pgSz w:w="12240" w:h="15840" w:orient="portrait"/>
          <w:cols w:equalWidth="0" w:num="1">
            <w:col w:w="10080"/>
          </w:cols>
          <w:pgMar w:left="1080" w:top="1078" w:right="1080" w:bottom="156"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78" w:right="1080" w:bottom="156" w:gutter="0" w:footer="0" w:header="0"/>
          <w:type w:val="continuous"/>
        </w:sectPr>
      </w:pPr>
    </w:p>
    <w:bookmarkStart w:id="23" w:name="page24"/>
    <w:bookmarkEnd w:id="23"/>
    <w:p>
      <w:pPr>
        <w:jc w:val="both"/>
        <w:spacing w:after="0" w:line="239" w:lineRule="auto"/>
        <w:rPr>
          <w:sz w:val="20"/>
          <w:szCs w:val="20"/>
          <w:color w:val="auto"/>
        </w:rPr>
      </w:pPr>
      <w:r>
        <w:rPr>
          <w:rFonts w:ascii="Times New Roman" w:cs="Times New Roman" w:eastAsia="Times New Roman" w:hAnsi="Times New Roman"/>
          <w:sz w:val="20"/>
          <w:szCs w:val="20"/>
          <w:color w:val="auto"/>
        </w:rPr>
        <w:t>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will likely cause dilution to our stockholders, restrict our operations, or require us to relinquish rights to our current in-development products or technologies or any of our future product candidates.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our current in-development products or any future product candidates, or to grant licenses on terms that may not be favorable to us. If we are unable to raise additional funds through equity or debt financings when needed, we may be required to delay, limit, reduce, or terminate our development of our current in-development products or any future product candidate or future commercialization efforts or grant rights to a third party to develop and market product candidates that we would otherwise prefer to develop and market ourselves.</w:t>
      </w:r>
    </w:p>
    <w:p>
      <w:pPr>
        <w:spacing w:after="0" w:line="2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limited resources and limited operating history. There is only a limited basis upon which to evaluate our prospects for achieving our intended business objectives. We have not yet demonstrated the ability to successfully complete a large-scale, pivotal clinical trial, obtain marketing approval, manufacture a commercial scale product, arrange for a third party to do so on our behalf,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as a business with a limited operating history, we may encounter unforeseen expenses, difficulties, complications, delays and other known and unknown factors. We will eventually need to transition from a company with a research focus to a company capable of supporting commercial activities. We may not be successful in such a transition and, as a result, our business may be adversely affected.</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our current in-development products or any of our future product candidates, our expenses could increase.</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88" w:right="1080" w:bottom="156"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Risks Related to Development, Clinical Testing, Manufacturing and Regulatory Approval</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are heavily dependent on the success of our initial drug candidates, which are still under clinical development, and if any of these drugs does not receive regulatory approval or is not successfully commercialized, our business may be harmed.</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do not have any products that have gained regulatory approval by the FDA or comparable foreign regulatory authorities. As a result, our business is dependent on our ability to successfully complete clinical development of, obtain regulatory approval for, and, if approved, successfully commercialize one or more drug therapies in a timely manner. We cannot commercialize our drug therapies in the United States without first obtaining regulatory approval from the FDA; similarly, we cannot commercialize our drug therapies outside of the United States without obtaining regulatory approval from comparable foreign regulatory authorities. Before obtaining regulatory approvals for the commercial sale of our drug therapies for a target indication, we must demonstrate with substantial evidence gathered in preclinical studies and clinical trials, generally including two adequate and well-controlled clinical trials, and, with respect to approval in the United States, to the satisfaction of the FDA, that a drug candidate is safe and effective for use for that target indication and that the manufacturing facilities, processes and controls are adequate. Even if we were to successfully obtain approval of one of our drug therapies from the FDA or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or more of our drug therapies in one or more jurisdictions, or any approval contains significant limitations, we may not be able to obtain sufficient funding or generate sufficient revenue to continue the development of any other candidate that we may in-license, develop or acquire in the future. Furthermore, even if we obtain regulatory approval for one of our drug therapies, we will still need to develop a commercial organization, establish commercially viable pricing and obtain approval for adequate reimbursement from third-party and government payors. If we are unable to successfully commercialize one or more of our drug therapies, we may not be able to earn sufficient revenue to continue our business.</w:t>
      </w:r>
    </w:p>
    <w:p>
      <w:pPr>
        <w:spacing w:after="0" w:line="2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we will not be able to commercialize our current in-development products or our future product candidates, and our ability to generate revenue will be materially impaired.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current in-development products and our future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comparable foreign regulatory authorities, with regulations differing from country to country. Failure to obtain marketing approval for a product candidate will prevent us from commercializing the product candidate. We currently do not have any products approved for sale in any jurisdiction. We as a company only have limited experience in filing and supporting the applications necessary to gain marketing approvals and may rely on third-party contract research organizations to assist us in this process.</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time required to obtain approval, if any, by the FDA and comparable foreign authorities is unpredictable but typically takes many years following the commencement of clinical trials and depends upon numerous factors, including the substantial discretion of the regulatory authorities, government budget, and funding levels and statutory, regulatory, and policy changes. Average review times at the FDA have fluctuated in recent years, and disruptions at the FDA and other agencies may slow the time necessary for new drugs to be reviewed and/or approved. For example, over the last several years, including for 35 days beginning on December 22, 2018, the U.S. government has shut down several times and certain regulatory agencies, including the FDA, have had to furlough nonessential employees and stop routine activities. Events like this could significantly impact the ability of the FDA to timely review and process our regulatory submissions.</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Approval policies, regulations, or the type and amount of clinical data necessary to gain approval may change during the course of a product candidate’s clinical development. For instance, any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Europe and Japan. We have not obtained regulatory approval for any product candidate, and it is possible that none of our current in-development products or any product candidates we may seek to develop in the future will ever obtain regulatory approval. We are not permitted to market any product candidate in the United States until we receive regulatory approval of an NDA from the FDA.</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78" w:right="1080" w:bottom="156" w:gutter="0" w:footer="0" w:header="0"/>
          <w:type w:val="continuous"/>
        </w:sectPr>
      </w:pPr>
    </w:p>
    <w:bookmarkStart w:id="25" w:name="page26"/>
    <w:bookmarkEnd w:id="25"/>
    <w:p>
      <w:pPr>
        <w:jc w:val="both"/>
        <w:spacing w:after="0"/>
        <w:rPr>
          <w:sz w:val="20"/>
          <w:szCs w:val="20"/>
          <w:color w:val="auto"/>
        </w:rPr>
      </w:pPr>
      <w:r>
        <w:rPr>
          <w:rFonts w:ascii="Times New Roman" w:cs="Times New Roman" w:eastAsia="Times New Roman" w:hAnsi="Times New Roman"/>
          <w:sz w:val="20"/>
          <w:szCs w:val="20"/>
          <w:color w:val="auto"/>
        </w:rPr>
        <w:t>In order to obtain approval to commercialize a product candidate in the United States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not submitted a marketing application for any product candidates in any country or region. Any marketing application must include extensive preclinical, nonclinical, and clinical data and supporting information to establish the product candidate’s safety and efficacy for each desired indication. The marketing application(s) must also include significant information regarding the chemistry, manufacturing, and controls for the product candidate. Obtaining marketing authorization is a lengthy, expensive, and uncertain process. The FDA, EMA, PMDA, TGA, and other comparable regulatory authorities have substantial discretion in the review and approval process and may refuse to accept for filing any application or may decide that our data are insufficient for approval and require additional nonclinical, clinical, or other studies. Foreign regulatory authorities have differing requirements for approval of drugs with which we must comply prior to marketing. There can be no assurance that any foreign regulatory authorities will accept FDA approval as sufficient to support approval in that country. Obtaining marketing approval for marketing of a product candidate in one country does not ensure that we will be able to obtain marketing approval in other countries, but the failure to obtain marketing approval in one jurisdiction could negatively affect our ability to obtain marketing approval in other jurisdictions. The FDA or any foreign regulatory bodies can delay, limit or deny approval of our current in-development products or other future product candidates or require us to conduct additional nonclinical or clinical testing or abandon a program for many reasons, including:</w:t>
      </w:r>
    </w:p>
    <w:p>
      <w:pPr>
        <w:spacing w:after="0" w:line="236" w:lineRule="exact"/>
        <w:rPr>
          <w:sz w:val="20"/>
          <w:szCs w:val="20"/>
          <w:color w:val="auto"/>
        </w:rPr>
      </w:pPr>
    </w:p>
    <w:p>
      <w:pPr>
        <w:ind w:left="360" w:hanging="360"/>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 with the design or implementation of our clinical trials;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or ambiguous results from our clinical trials or results that may not meet the level of statistical significance required by the FDA or comparable foreign regulatory agencies for approval (for example, otherwise positive clinical results may be called into question if patient reported outcomes introduce ambiguity due to factors such as co-morbidities and other underlying patient issues);</w:t>
      </w:r>
    </w:p>
    <w:p>
      <w:pPr>
        <w:spacing w:after="0" w:line="84"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serious and unexpected drug-related side effects experienced by participants in our clinical trials or by individuals using drugs similar to our product candidates;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demonstrate to the satisfaction of the FDA or the applicable foreign regulatory body that our product candidates are safe and effective for the proposed indication;</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 with the interpretation of data from nonclinical studies or clinical trials;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demonstrate the clinical and other benefits of our product candidates outweigh any safety or other perceived risks;</w:t>
      </w:r>
    </w:p>
    <w:p>
      <w:pPr>
        <w:spacing w:after="0" w:line="7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for additional nonclinical studies or clinical trials;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 regarding the formulation, labeling, and/or the specifications we propose for our product candidates; or</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 policies, requirements, or regulations rendering our clinical data insufficient for approval.</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prospects.</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88" w:right="1080" w:bottom="156" w:gutter="0" w:footer="0" w:header="0"/>
          <w:type w:val="continuous"/>
        </w:sectPr>
      </w:pPr>
    </w:p>
    <w:bookmarkStart w:id="26" w:name="page27"/>
    <w:bookmarkEnd w:id="26"/>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Most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The commencement and rate of completion of preclinical studies and clinical trials for a product candidate may be delayed by many factors, including but not limited to: an inability to generate sufficient preclinical or other in vivo or in vitro data to support the initiation of clinical studies; delays in reaching a consensus with regulatory agencies on study design; any setbacks or delays on account of any pandemic; and the FDA or foreign regulatory authorities not permitting the reliance on preclinical or other data from published scientific literature.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 are expensive, time-consuming and difficult to design and implement, and involve an uncertain outcome.</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also experience numerous unforeseen events during our clinical trials that could delay or prevent our ability to receive marketing approval or commercialize the product candidates we develop.</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Failure can occur at any time during the clinical trial process. Because the results of preclinical studies and early clinical trials are not necessarily predictive of future results, our drug therapies may not have favorable results in later preclinical and clinical studies or receive regulatory approval. We may experience delays in initiating and completing any clinical trials that we intend to conduct, and we do not know whether planned clinical trials will begin on time, need to be redesigned, enroll patients on time or be completed on schedule, or at all. Many of the factors that cause, or lead to, a delay in the commencement or completion of clinical trials may also ultimately lead to the denial of marketing approval of our product candidates. Clinical trials can be delayed for a variety of reasons, including delays related to:</w:t>
      </w:r>
    </w:p>
    <w:p>
      <w:pPr>
        <w:spacing w:after="0" w:line="246" w:lineRule="exact"/>
        <w:rPr>
          <w:sz w:val="20"/>
          <w:szCs w:val="20"/>
          <w:color w:val="auto"/>
        </w:rPr>
      </w:pPr>
    </w:p>
    <w:p>
      <w:pPr>
        <w:ind w:left="360" w:hanging="360"/>
        <w:spacing w:after="0" w:line="235"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other regulatory authorities may change the requirements for approval even after they have reviewed and commented on the design for our clinical trials;</w:t>
      </w:r>
    </w:p>
    <w:p>
      <w:pPr>
        <w:spacing w:after="0" w:line="8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or comparable foreign regulatory authorities disagreeing as to the design or implementation of our clinical studies;</w:t>
      </w:r>
    </w:p>
    <w:p>
      <w:pPr>
        <w:spacing w:after="0" w:line="82" w:lineRule="exact"/>
        <w:rPr>
          <w:rFonts w:ascii="Times New Roman" w:cs="Times New Roman" w:eastAsia="Times New Roman" w:hAnsi="Times New Roman"/>
          <w:sz w:val="19"/>
          <w:szCs w:val="19"/>
          <w:color w:val="auto"/>
        </w:rPr>
      </w:pPr>
    </w:p>
    <w:p>
      <w:pPr>
        <w:ind w:left="360" w:hanging="360"/>
        <w:spacing w:after="0" w:line="235"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regulatory approval to commence and/or continue to conduct a trial, including but not limited to obtaining IND approval by FDA;</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Institutional Review Board, or IRB, approval at each site, or Independent Ethics Committee, or IEC, approval at sites outside the United States;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suitable patients to participate in a trial in a timely manner and in sufficient numbers;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patients complete a trial or return for post-treatment follow-up;</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clinical hold by regulatory authorities, or IRBs, including as a result of unforeseen safety issues or side effects or failure of trial sites to adhere to regulatory requirements or follow trial protocols;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88" w:right="1080" w:bottom="156" w:gutter="0" w:footer="0" w:header="0"/>
          <w:type w:val="continuous"/>
        </w:sectPr>
      </w:pPr>
    </w:p>
    <w:bookmarkStart w:id="27" w:name="page28"/>
    <w:bookmarkEnd w:id="27"/>
    <w:p>
      <w:pPr>
        <w:jc w:val="both"/>
        <w:ind w:left="360" w:hanging="360"/>
        <w:spacing w:after="0" w:line="238" w:lineRule="auto"/>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sites deviating from trial protocol, failing to adequately enroll study subjects, committing fraud or other violations of regulatory requirements, or dropping out of a trial, which can render data from that site unusable in support of regulatory approval;</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patient safety concerns that arise during the course of a trial;</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adding a sufficient number of clinical trial sites; or</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sufficient quantities of our drug therapies for use in clinical trials.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could also encounter delays if a clinical trial is suspended or terminated by us, the IRBs or IECs of the institutions in which such trials are being conducted, the Data Safety Monitoring Board, or DSMB, for such trial or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as described in “Item 1A Risk Factors- Risks Related to Our Dependence on Third Parties.”</w:t>
      </w:r>
    </w:p>
    <w:p>
      <w:pPr>
        <w:spacing w:after="0" w:line="2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Treatment of cancer patients with our oncology product candidates may be used in combination with other cancer drugs, such as other immuno-oncology agents, monoclonal antibodies or other protein-based drugs or small molecule anti-cancer agent such as targeted agents or chemotherapy, which can cause side effects or adverse events that are unrelated to our product candidate but may still impact the success of our clinical trials. Additionally, our product candidates could potentially cause adverse events. The inclusion of critically ill patients in our clinical trials may result in deaths or other adverse medical events due to other therapies or medications that such patients may be using. As described above, any of these events could prevent us from obtaining regulatory approval or achieving or maintaining market acceptance of our product candidates and impair our ability to commercialize our products. Because all of our product candidates are derived from our platform technologies, a clinical failure of one of our product candidates may also increase the actual or perceived likelihood that our other product candidates will experience similar failures.</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Of the large number of products in development, only a small percentage successfully complete the FDA or comparable foreign regulatory authorities’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Even if we eventually complete clinical testing and receive approval of a marketing application for our product candidates, the FDA or the comparable foreign regulatory authorities may grant approval contingent on the performance of costly additional clinical trials, including post-market clinical trials. The FDA or the comparable foreign regulatory authorities also may approve a product candidate for a more limited indication or patient population than we originally request, and the FDA or comparable foreign regulatory authorities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adversely impact our business and prospects.</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88" w:right="1080" w:bottom="156" w:gutter="0" w:footer="0" w:header="0"/>
          <w:type w:val="continuous"/>
        </w:sectPr>
      </w:pPr>
    </w:p>
    <w:bookmarkStart w:id="28" w:name="page29"/>
    <w:bookmarkEnd w:id="28"/>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Future legislation, and/or regulations and policies adopted by the FDA, the EMA, or comparable regulatory authorities, may increase the time and cost required for us to conduct and complete clinical trials of our current in-development products or other future product candidates.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FDA has established regulations to govern the drug development and approval process, as have foreign regulatory authorities. The policies of the FDA and other regulatory authorities may change and additional laws may be enacted or government regulations may be promulgated that could prevent, limit, delay, or alternatively accelerate regulatory review of our current in-development products or other future product candidates. Further,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are based on novel technologies, which make it difficult to predict the timing, results and cost of product candidate development and likelihood of obtaining regulatory approval.</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not yet succeeded and may not succeed in demonstrating efficacy and safety for any product candidates in clinical trials or in obtaining marketing approval thereafter and use of our platform technologies may not ever result in marketable products. We may also experience delays in developing a sustainable, reproducible, and scalable manufacturing process or transferring that process to commercial partners or establishing our own commercial manufacturing capabilities, which may prevent us from completing our clinical trials or commercializing any products on a timely or profitable basis, if at all.</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we develop our drug therapies and initiate clinical trials of our additional drug therapies,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Should we observe SAEs in our clinical trials or identify other undesirable side effects or other unexpected findings depending on their severity, our trials could be delayed or even stopped, and our development programs may be halted entirely.</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Even if our product candidates initially show promise in early clinical trials, the side effects of drug therapies are frequently only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drug therapy or another factor, especially in oncology subjects who may suffer from other medical conditions and be taking other medications. If serious adverse or unexpected side effects are identified during development or after approval and are determined to be attributed to our product candidate, we may be required to develop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Product-related side effects could also result in potential product liability claims. Any of these occurrences may harm our business, financial condition and prospects significantly.</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addition, if one or more of our product candidates receives marketing approval, and we or others later identify undesirable side effects or ADA caused by such products, a number of potentially significant negative consequences could result, including:</w:t>
      </w:r>
    </w:p>
    <w:p>
      <w:pPr>
        <w:spacing w:after="0" w:line="230" w:lineRule="exact"/>
        <w:rPr>
          <w:sz w:val="20"/>
          <w:szCs w:val="20"/>
          <w:color w:val="auto"/>
        </w:rPr>
      </w:pPr>
    </w:p>
    <w:p>
      <w:pPr>
        <w:ind w:left="360" w:hanging="360"/>
        <w:spacing w:after="0" w:line="235" w:lineRule="auto"/>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suspend, withdraw or limit approvals of such product, or seek an injunction against its manufacture or distribution;</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create a medication guide outlining the risks of such side effects for distribution to patients;</w:t>
      </w:r>
    </w:p>
    <w:p>
      <w:pPr>
        <w:sectPr>
          <w:pgSz w:w="12240" w:h="15840" w:orient="portrait"/>
          <w:cols w:equalWidth="0" w:num="1">
            <w:col w:w="10080"/>
          </w:cols>
          <w:pgMar w:left="1080" w:top="1088" w:right="1080" w:bottom="156"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88" w:right="1080" w:bottom="156" w:gutter="0" w:footer="0" w:header="0"/>
          <w:type w:val="continuous"/>
        </w:sectPr>
      </w:pPr>
    </w:p>
    <w:bookmarkStart w:id="29" w:name="page30"/>
    <w:bookmarkEnd w:id="29"/>
    <w:p>
      <w:pPr>
        <w:ind w:left="360" w:hanging="360"/>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a product is administered or conduct additional clinical trials;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may become less competitive, and our reputation may suffer;</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to remove the product from the marketplace;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fines, injunctions or the imposition of civil or criminal penalties.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2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clinical trials. If these third parties do not successfully carry out their contractual duties, comply with regulatory requirements or meet expected deadlines, we may not be able to obtain marketing approval for or commercialize our current or future product candidates we develop and our business could be materially harmed. Consequently, we may be unable to successfully and efficiently execute and complete clinical trials that are required for biologics license application, or BLA submission and FDA approval of our current or future product candidates. We may require more time and incur greater costs than our competitors and may not succeed in obtaining regulatory approvals of product candidates that we develop.</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are early in our development efforts. Most of our product candidates are not yet in clinical trials. Our ability to generate product revenues, which we do not expect will occur for several years, if ever, will depend heavily on the successful development and eventual commercialization of our current product candidates and any other current or future product</w:t>
      </w:r>
    </w:p>
    <w:p>
      <w:pPr>
        <w:sectPr>
          <w:pgSz w:w="12240" w:h="15840" w:orient="portrait"/>
          <w:cols w:equalWidth="0" w:num="1">
            <w:col w:w="10080"/>
          </w:cols>
          <w:pgMar w:left="1080" w:top="1078" w:right="1080" w:bottom="156"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078" w:right="1080" w:bottom="156" w:gutter="0" w:footer="0" w:header="0"/>
          <w:type w:val="continuous"/>
        </w:sectPr>
      </w:pPr>
    </w:p>
    <w:bookmarkStart w:id="30" w:name="page31"/>
    <w:bookmarkEnd w:id="30"/>
    <w:p>
      <w:pPr>
        <w:jc w:val="both"/>
        <w:spacing w:after="0" w:line="239" w:lineRule="auto"/>
        <w:rPr>
          <w:sz w:val="20"/>
          <w:szCs w:val="20"/>
          <w:color w:val="auto"/>
        </w:rPr>
      </w:pPr>
      <w:r>
        <w:rPr>
          <w:rFonts w:ascii="Times New Roman" w:cs="Times New Roman" w:eastAsia="Times New Roman" w:hAnsi="Times New Roman"/>
          <w:sz w:val="20"/>
          <w:szCs w:val="20"/>
          <w:color w:val="auto"/>
        </w:rPr>
        <w:t>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clinical and commercial success of our current and future product candidates will depend on several factors, including the following: timely and successful completion of preclinical studies and our clinical trials; sufficiency of our financial and other resources to complete the necessary preclinical studies and clinical trials; our plans to successfully submit IND applications with the FDA for our current and future product candidates; our ability to complete preclinical studies for current or future product candidates; successful enrollment in, including maintaining or reaching target enrollment levels during the COVID-19 pandemic, and completion of clinical trials; successful data from our clinical program that supports an acceptable risk-benefit profile of our product candidates in the intended patient populations; our ability to establish agreements with third-party manufacturers on a timely and cost efficient manner; whether we are required by the FDA or comparable foreign regulatory authorities to conduct additional clinical trials or other studies beyond those planned or anticipated to support approval of our product candidates; acceptance of our proposed indications and the primary endpoint assessments evaluated in the clinical trials of our product candidates by the FDA and comparable foreign regulatory authorities; receipt and maintenance of timely marketing approvals from applicable regulatory authorities; successfully launching commercial sales of our product candidates, if approved; the prevalence, duration and severity of potential side effects or other safety issues experienced with our product candidates, if approved; entry into collaborations to further the development of our product candidates; obtaining and maintaining patent and trade secret protection or regulatory exclusivity for our product candidates; acceptance of the benefits and uses of our product candidates, if approved, by patients, the medical community and third-party payors; maintaining a continued acceptable safety, tolerability and efficacy profile of the product candidates following approval; 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 prohibitive; competing effectively with other therapies; obtaining and maintaining healthcare coverage and adequate reimbursement from third-party payors; and enforcing and defending intellectual property rights and claims. There are multiple risks associated with developing companion diagnostics to ENV 105, ENV 205, and KROS 301 and there is no guarantee that these companion diagnostics will be approved by the FDA or comparable foreign regulatory agencies.</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any of our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may change as more patient data become available and are subject to audit and verification procedures that could result in material changes in the final data.</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From time to time, we may publicly disclose preliminary, interim or topline data from our preclinical studies and clinical trials, which is based on a preliminary analysis of then-available data, and the results and related findings and conclusions are subject to change as patient enrollment and treatment continues and more patient data become available.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w:t>
      </w:r>
    </w:p>
    <w:p>
      <w:pPr>
        <w:sectPr>
          <w:pgSz w:w="12240" w:h="15840" w:orient="portrait"/>
          <w:cols w:equalWidth="0" w:num="1">
            <w:col w:w="10080"/>
          </w:cols>
          <w:pgMar w:left="1080" w:top="1088" w:right="1080" w:bottom="156"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088" w:right="1080" w:bottom="156" w:gutter="0" w:footer="0" w:header="0"/>
          <w:type w:val="continuous"/>
        </w:sectPr>
      </w:pPr>
    </w:p>
    <w:bookmarkStart w:id="31" w:name="page32"/>
    <w:bookmarkEnd w:id="31"/>
    <w:p>
      <w:pPr>
        <w:jc w:val="both"/>
        <w:spacing w:after="0"/>
        <w:rPr>
          <w:sz w:val="20"/>
          <w:szCs w:val="20"/>
          <w:color w:val="auto"/>
        </w:rPr>
      </w:pPr>
      <w:r>
        <w:rPr>
          <w:rFonts w:ascii="Times New Roman" w:cs="Times New Roman" w:eastAsia="Times New Roman" w:hAnsi="Times New Roman"/>
          <w:sz w:val="20"/>
          <w:szCs w:val="20"/>
          <w:color w:val="auto"/>
        </w:rPr>
        <w:t>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face future business disruption and related risks resulting from pandemic, epidemic or outbreak of an infectious disease, any of which could have a material adverse effect on our business.</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development of our drug candidates could be disrupted and materially adversely affected in the future by a pandemic, epidemic or outbreak of an infectious disease like the outbreak of COVID-19. The spread of an infectious disease may result in the inability of our suppliers to deliver components or raw materials on a timely basis or materially and adversely affect our collaborators and out-license partners’ ability to perform preclinical studies and clinical trials. In addition, hospitals may reduce staffing and reduce or postpone certain treatments in response to the spread of an infectious disease. Such events may result in a period of business and manufacturing disruption, and in reduced operations, any of which could materially affect our business, financial condition and results of operations. The extent to which the coronavirus impacts our business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Because we have limited financial and managerial resources, we must prioritize our research programs and will need to focus our discovery and development on select product candidates and indications. Correctly prioritizing our research and development activities is particularly important for us due to the breadth of potential product candidates and indications that we believe could be pursued using our platform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88" w:right="1080" w:bottom="156"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identify or discover additional product candidates in the future.</w:t>
      </w:r>
    </w:p>
    <w:p>
      <w:pPr>
        <w:spacing w:after="0" w:line="244" w:lineRule="exact"/>
        <w:rPr>
          <w:sz w:val="20"/>
          <w:szCs w:val="20"/>
          <w:color w:val="auto"/>
        </w:rPr>
      </w:pPr>
    </w:p>
    <w:p>
      <w:pPr>
        <w:ind w:right="600"/>
        <w:spacing w:after="0" w:line="235" w:lineRule="auto"/>
        <w:rPr>
          <w:sz w:val="20"/>
          <w:szCs w:val="20"/>
          <w:color w:val="auto"/>
        </w:rPr>
      </w:pPr>
      <w:r>
        <w:rPr>
          <w:rFonts w:ascii="Times New Roman" w:cs="Times New Roman" w:eastAsia="Times New Roman" w:hAnsi="Times New Roman"/>
          <w:sz w:val="20"/>
          <w:szCs w:val="20"/>
          <w:color w:val="auto"/>
        </w:rPr>
        <w:t>Our research programs may initially show promise in identifying potential product candidates, yet fail to yield product candidates for clinical development for a number of reasons, including:</w:t>
      </w:r>
    </w:p>
    <w:p>
      <w:pPr>
        <w:spacing w:after="0" w:line="234" w:lineRule="exact"/>
        <w:rPr>
          <w:sz w:val="20"/>
          <w:szCs w:val="20"/>
          <w:color w:val="auto"/>
        </w:rPr>
      </w:pPr>
    </w:p>
    <w:p>
      <w:pPr>
        <w:ind w:left="360" w:hanging="360"/>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design such product candidates with the properties that we desire; or</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product candidates may, on further study, be shown to have harmful side effects or other characteristics that indicate that they are unlikely to be products that will receive marketing approval and achieve market acceptance.</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Research programs to identify new product candidates require substantial technical, financial and human resources. If we are unable to identify suitable additional candidates for preclinical and clinical development, our opportunities to successfully develop and commercialize therapeutic products will be limited.</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drug therapy candidates, our business will be substantially harmed.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candidate’s clinical development and may vary among jurisdictions. We have not obtained regulatory approval for any product candidate and it is possible that we will never obtain regulatory approval for any of our drug therapy candidates. We are not permitted to market any of our product candidates in the United States until we receive regulatory approval of a NDA from the FDA. Our ability to obtain approval by the FDA or other regulatory authorities can be adversely impacted for various reasons including:</w:t>
      </w:r>
    </w:p>
    <w:p>
      <w:pPr>
        <w:spacing w:after="0" w:line="247" w:lineRule="exact"/>
        <w:rPr>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candidate is safe and effective for its proposed indication;</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serious and unexpected drug-related side effects experienced by participants in our clinical trials or by individuals using drugs similar to our candidates, or other products containing the active ingredient in our candidates;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or ambiguous results from our clinical trials or results that may not meet the level of statistical significance required by the FDA or comparable foreign regulatory authorities for approval;</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that a candidate’s clinical and other benefits outweigh its safety risks;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collected from clinical trials of our development candidates may not be acceptable or sufficient to support the submission of an NDA or other submission or to obtain regulatory approval in the United States or elsewhere, and we may be required to conduct additional clinical trials;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authorities may disagree regarding the formulation, labeling and/or the specifications of our candidates;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fail to approve or find deficiencies with the manufacturing processes or facilities of third-party manufacturers with which we contract for clinical and commercial supplies;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inspect and find deficiencies at the clinical trial sites we use to conduct our clinical studies; and</w:t>
      </w:r>
    </w:p>
    <w:p>
      <w:pPr>
        <w:spacing w:after="0" w:line="82"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Prior to obtaining approval to commercialize a candidate in the United States or abroad, we must demonstrate with substantial evidence from well-controlled clinical trials, and to the satisfaction of the FDA or foreign regulatory agencies, that such candidates are safe and effective for their intended uses. Results from preclinical studies and clinical trials can be interpreted in different ways. Even if we believe the preclinical or clinical data for our candidates are promising, such data may not be sufficient to support approval by the FDA and other regulatory authorities. A single-study approach is permissible in certain circumstances, particularly in oncology, but such circumstances are exceptional and FDA may not agree with that proposed approach, and thus we may be required to conduct two phase 3 trials.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78" w:right="1080" w:bottom="156" w:gutter="0" w:footer="0" w:header="0"/>
          <w:type w:val="continuous"/>
        </w:sectPr>
      </w:pPr>
    </w:p>
    <w:bookmarkStart w:id="33" w:name="page34"/>
    <w:bookmarkEnd w:id="33"/>
    <w:p>
      <w:pPr>
        <w:spacing w:after="0" w:line="235" w:lineRule="auto"/>
        <w:rPr>
          <w:sz w:val="20"/>
          <w:szCs w:val="20"/>
          <w:color w:val="auto"/>
        </w:rPr>
      </w:pPr>
      <w:r>
        <w:rPr>
          <w:rFonts w:ascii="Times New Roman" w:cs="Times New Roman" w:eastAsia="Times New Roman" w:hAnsi="Times New Roman"/>
          <w:sz w:val="20"/>
          <w:szCs w:val="20"/>
          <w:color w:val="auto"/>
        </w:rPr>
        <w:t>The FDA or any foreign regulatory bodies can delay, limit or deny approval of our candidates or require us to conduct additional preclinical or clinical testing or abandon a program for many reasons, including:</w:t>
      </w:r>
    </w:p>
    <w:p>
      <w:pPr>
        <w:spacing w:after="0" w:line="246" w:lineRule="exact"/>
        <w:rPr>
          <w:sz w:val="20"/>
          <w:szCs w:val="20"/>
          <w:color w:val="auto"/>
        </w:rPr>
      </w:pPr>
    </w:p>
    <w:p>
      <w:pPr>
        <w:ind w:left="360" w:hanging="360"/>
        <w:spacing w:after="0" w:line="23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the adequacy of the design or implementation of our clinical trials;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safety interpretation of our drug;</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efficacy interpretation of our drug; or</w:t>
      </w:r>
    </w:p>
    <w:p>
      <w:pPr>
        <w:spacing w:after="0" w:line="8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or comparable foreign regulatory authorities may regard our CMC package as inadequate, and more particularly:</w:t>
      </w:r>
    </w:p>
    <w:p>
      <w:pPr>
        <w:spacing w:after="0" w:line="82" w:lineRule="exact"/>
        <w:rPr>
          <w:rFonts w:ascii="Times New Roman" w:cs="Times New Roman" w:eastAsia="Times New Roman" w:hAnsi="Times New Roman"/>
          <w:sz w:val="19"/>
          <w:szCs w:val="19"/>
          <w:color w:val="auto"/>
        </w:rPr>
      </w:pPr>
    </w:p>
    <w:p>
      <w:pPr>
        <w:ind w:left="360" w:hanging="360"/>
        <w:spacing w:after="0" w:line="23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NDA does not include adequate tests by all methods reasonably applicable to show whether or not such drug is safe for use under the conditions prescribed, recommended, or suggested in the proposed labeling thereof;</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results of such tests show that such drug is unsafe for use under such conditions or do not show that such drug is safe for use under such conditions;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methods used in, and the facilities and controls used for, the manufacture, processing, and packing of such drug are inadequate to preserve its identity, strength, quality, and purity;</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FDA determines that it has insufficient information to determine whether such drug is safe for use under such conditions;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based on information we submit and any other information before the FDA, the FDA determines there is a lack of substantial evidence that the drug will have the effect it purports or is represented to have under the conditions of use prescribed, recommended, or suggested in the proposed labeling thereof; or</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FDA determines that our labeling is false or misleading in any particular way.</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Of the large number of drugs that enter clinical development, only a small percentage successfully complete the regulatory approval processes and are approved and commercialized. This lengthy approval process, as well as the unpredictability of future clinical trial results, may result in our failing to obtain regulatory approval to market of any of our drug therapy candidates, which would significantly harm our business, results of operations and prospects.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the FDA or an applicable foreign regulatory agency also may approve a product candidate for a more limited indication or patient population than we originally requested, the FDA or foreign regulatory agency may approve a product candidate with a label that does not include the labeling claims necessary or desirable for the successful commercialization of that product candidate, or may require warnings, other safety-related labeling information, or impose post-market safety requirements, including distribution restrictions, that negatively impact the commercial potential of the drug. Any of the foregoing scenarios could materially harm the commercial prospects for our product candidates.</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timely completion of clinical trials in accordance with their protocols depends, among other things, on our ability to enroll a sufficient number of patients who remain in the study until its conclusion. We may encounter delays in enrolling, or be unable to enroll, a sufficient number of patients to complete any of our clinical trials, and even once enrolled, we may be unable to retain a sufficient number of patients to complete any of our trials. Patient enrollment and retention in clinical trials depends on many factors, including:</w:t>
      </w:r>
    </w:p>
    <w:p>
      <w:pPr>
        <w:spacing w:after="0" w:line="237" w:lineRule="exact"/>
        <w:rPr>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 eligibility criteria defined in the protocol;</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of the patient population required for analysis of the trial’s primary endpoints;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trial protocol;</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body of safety and efficacy data with respect to the product candidate;</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proximity of patients to clinical sites;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competing clinical trials being conducted by other companies or institutions;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patient consents;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patients enrolled in clinical trials will drop out of the trials before completion; and</w:t>
      </w:r>
    </w:p>
    <w:p>
      <w:pPr>
        <w:sectPr>
          <w:pgSz w:w="12240" w:h="15840" w:orient="portrait"/>
          <w:cols w:equalWidth="0" w:num="1">
            <w:col w:w="10080"/>
          </w:cols>
          <w:pgMar w:left="1080" w:top="1088" w:right="1080" w:bottom="156"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88" w:right="1080" w:bottom="156" w:gutter="0" w:footer="0" w:header="0"/>
          <w:type w:val="continuous"/>
        </w:sectPr>
      </w:pPr>
    </w:p>
    <w:bookmarkStart w:id="34" w:name="page35"/>
    <w:bookmarkEnd w:id="34"/>
    <w:p>
      <w:pPr>
        <w:ind w:left="360" w:hanging="360"/>
        <w:spacing w:after="0" w:line="235"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difficulties in enrollment and completion of studies due to any pandemic, epidemic or outbreak of an infectious disease.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preclinical studies, early clinical trials or analyses may not be indicative of results obtained in later trials.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results of preclinical studies, early clinical trials or analyses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trials. In addition, conclusions based on promising data from analyses of clinical results may be shown to be incorrect when implemented in prospective clinical trials. Even if our clinical trials for our drug therapy candidates are completed as planned, we cannot be certain that their results will support the safety and efficacy sufficient to obtain regulatory approval.</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Serious adverse events or undesirable side effects caused by any of our drug therapy candidates could cause us or regulatory authorities to interrupt, delay or halt clinical trials and could result in a more restrictive label or the delay or denial of regulatory approval by the FDA or other comparable foreign authorities. Results of any clinical trial we conduct could reveal a high and unacceptable severity and prevalence of side effects or unexpected characteristics.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unacceptable side effects arise in the development of our candidates, we, the FDA or the IRBs at the institutions in which our studies are conducted, or the DSMB, if constituted for our clinical trials, could recommend a suspension or termination of our clinical trials, or the FDA or comparable foreign regulatory authorities could order us to cease further development of or deny approval of a product candidate for any or all targeted indications. In addition, drug-related side effects could affect patient recruitment or the ability of enrolled patients to complete a trial or result in potential product liability claims. In addition, these side effects may not be appropriately recognized or managed by the treating medical staff. We expect to have to train medical personnel using our development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219" w:lineRule="exact"/>
        <w:rPr>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withdraw approvals of such product;</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 such as a “black box” warning or contraindication;</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restrictions may be imposed on the marketing of the particular product or the manufacturing processes for the product or any component thereof;</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implement a Risk Evaluation and Mitigation Strategy, or REMS, or create a medication guide outlining the risks of such side effects for distribution to patients;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may become less competitive; and</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a product candidate, if approved, and could significantly harm our business, results of operations and prospects.</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Cancer therapies are sometimes characterized as first-line, second-line or third-line, and the FDA often approves new therapies initially only for third-line use. Second- and third-line therapies are administered to patients when prior therapy is not effective. The number of patients who receive second- and third-line treatment is significantly smaller than the number of patients who receive first-line treatment. We may initially seek approval for our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88" w:right="1080" w:bottom="156" w:gutter="0" w:footer="0" w:header="0"/>
          <w:type w:val="continuous"/>
        </w:sectPr>
      </w:pPr>
    </w:p>
    <w:bookmarkStart w:id="35" w:name="page36"/>
    <w:bookmarkEnd w:id="35"/>
    <w:p>
      <w:pPr>
        <w:jc w:val="both"/>
        <w:spacing w:after="0" w:line="239" w:lineRule="auto"/>
        <w:rPr>
          <w:sz w:val="20"/>
          <w:szCs w:val="20"/>
          <w:color w:val="auto"/>
        </w:rPr>
      </w:pPr>
      <w:r>
        <w:rPr>
          <w:rFonts w:ascii="Times New Roman" w:cs="Times New Roman" w:eastAsia="Times New Roman" w:hAnsi="Times New Roman"/>
          <w:sz w:val="20"/>
          <w:szCs w:val="20"/>
          <w:color w:val="auto"/>
        </w:rPr>
        <w:t>The number of patients who have the types of cancer or autoimmune diseases we are targeting may turn out to be lower than expected.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have never obtained marketing approval for a drug therapy candidate and we may be unable to obtain, or may be delayed in obtaining, marketing approval for any of our development candidates.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never obtained marketing approval for a product candidate. It is possible that the FDA may refuse to accept for substantive review any NDAs that we submit for our development candidates or may conclude after review of our data that our application is insufficient to obtain marketing approval of our development candidates. If the FDA does not accept or approve our NDAs for our development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Any delay in obtaining, or an inability to obtain, marketing approvals would prevent us from commercializing our development candidates, generating revenues and achieving and sustaining profitability. If any of these outcomes occur, we may be forced to abandon our development efforts for our product candidates, which could significantly harm our business.</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Even if we obtain FDA approval for any of our drug therapy candidates in the United States, we may never obtain approval for or commercialize them in any other jurisdiction, which would limit our ability to realize their full global market potential.</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for any development candidate, we will still face extensive and ongoing regulatory requirements and obligations and any development candidates, if approved, may face future development and regulatory difficulties.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FDA and other federal and state agencies, including the U.S. Department of Justice, or the DOJ,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The FDA and DOJ impose stringent restrictions on manufacturers’ communications regarding off-label use and if we do not market our current in-development products or our future product candidates for their approved indications, we may be subject to enforcement action for off-label marketing. Violations of such requirements may lead to investigations alleging violations of the Food, Drug and Cosmetic Act and other statutes, including the False Claims Act and other federal and state health care fraud and abuse laws as well as state consumer protection laws.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Any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w:t>
      </w:r>
    </w:p>
    <w:p>
      <w:pPr>
        <w:sectPr>
          <w:pgSz w:w="12240" w:h="15840" w:orient="portrait"/>
          <w:cols w:equalWidth="0" w:num="1">
            <w:col w:w="10080"/>
          </w:cols>
          <w:pgMar w:left="1080" w:top="1088" w:right="1080" w:bottom="156"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88" w:right="1080" w:bottom="156" w:gutter="0" w:footer="0" w:header="0"/>
          <w:type w:val="continuous"/>
        </w:sectPr>
      </w:pPr>
    </w:p>
    <w:bookmarkStart w:id="36" w:name="page37"/>
    <w:bookmarkEnd w:id="36"/>
    <w:p>
      <w:pPr>
        <w:jc w:val="both"/>
        <w:spacing w:after="0" w:line="239" w:lineRule="auto"/>
        <w:rPr>
          <w:sz w:val="20"/>
          <w:szCs w:val="20"/>
          <w:color w:val="auto"/>
        </w:rPr>
      </w:pPr>
      <w:r>
        <w:rPr>
          <w:rFonts w:ascii="Times New Roman" w:cs="Times New Roman" w:eastAsia="Times New Roman" w:hAnsi="Times New Roman"/>
          <w:sz w:val="20"/>
          <w:szCs w:val="20"/>
          <w:color w:val="auto"/>
        </w:rPr>
        <w:t>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Good Clinical Practice, or GCP, requirements for any clinical trials that we conduct post-approval.</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uses beyond their approved indications, we may be subject to enforcement action for off-label marketing.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234" w:lineRule="exact"/>
        <w:rPr>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patients taking our product candidates;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such products, manufacturers, or manufacturing processes;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labeling or marketing of products;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product distribution or use;</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letters or untitled letters;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the products from the market;</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 of products;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permit the import or export of our products;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relationships with any potential collaborators;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press coverage and damage to our reputation;</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permit the import or export of our product candidates;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Further,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We also cannot predict the likelihood, nature or extent of government regulation that may arise from future legislation or administrative or executive action, either in the United States or abroad.</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Even if we obtain marketing approvals for our current in-development products or any future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Even if marketing approval of any of our current in-development products or any future product candidates is granted, an approved product and its manufacturer and marketer are subject to ongoing review and extensive regulation, including the potential requirements to implement a risk evaluation and mitigation strategy or to conduct costly post-marketing studies or clinical trials and surveillance to monitor the safety or efficacy of the product. We must also comply with requirements</w:t>
      </w:r>
    </w:p>
    <w:p>
      <w:pPr>
        <w:sectPr>
          <w:pgSz w:w="12240" w:h="15840" w:orient="portrait"/>
          <w:cols w:equalWidth="0" w:num="1">
            <w:col w:w="10080"/>
          </w:cols>
          <w:pgMar w:left="1080" w:top="1088" w:right="1080" w:bottom="156"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088" w:right="1080" w:bottom="156" w:gutter="0" w:footer="0" w:header="0"/>
          <w:type w:val="continuous"/>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9"/>
          <w:szCs w:val="19"/>
          <w:color w:val="auto"/>
        </w:rPr>
        <w:t>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Accordingly, assuming we receive marketing approval for one or more product candidates,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 candidates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spacing w:after="0" w:line="2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 Non-compliance with EU requirements regarding safety monitoring or pharmacovigilance, and with requirements related to the development of products for the pediatric population, also can result in significant financial penalties. Similarly, failure to comply with the EU’s requirements regarding the protection of personal information can also lead to significant penalties and sanctions.</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may seek a Breakthrough Therapy designation for one of our drug therapy candidates from the FDA. However, we might not seek such designation or be granted the designation by the FDA if sought, and even if we are granted the designation, it may not lead to a faster development or regulatory review or approval process.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may seek a Breakthrough Therapy designation for one or more of our drug therapy candidates.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For purposes of Breakthrough Therapy designation, clinically significant endpoint generally refers to an endpoint that measures an effect on irreversible morbidity or mortality (IMM) or on symptoms that represent serious consequences of the disease. A clinically significant endpoint can also refer to findings that suggest an effect on IMM or serious symptoms.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fast-track designation (under a separate request), priority review, or accelerated approval, if supported by clinical data at the time the NDA is submitted to the FDA. FDA encourages a Breakthrough Therapy designation request to be submitted, and received by FDA, no later than the end-of-phase-2 meetings. Even if granted, accelerated approval status does not guarantee an accelerated review or marketing approval by the FDA.</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Designation as a Breakthrough Therapy is within the discretion of the FDA both at the time of the submission of such a request, and during FDA’s review of the drug and supporting data. Even if we believe that one of our candidates meets the criteria for designation as a Breakthrough Therapy, the FDA may disagree and instead determine not to make such designation or may grant such a designation and subsequently rescind the designation prior to approval. Even if we receive and maintain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88" w:right="1080" w:bottom="156"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9"/>
          <w:szCs w:val="19"/>
          <w:b w:val="1"/>
          <w:bCs w:val="1"/>
          <w:color w:val="auto"/>
        </w:rPr>
        <w:t>Risks Related to the Commercialization of Our Current In-Development Products and Our Future Product Candidates</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Even if any of our current in-development products or any of our future product candidates receives marketing approval, it may fail to achieve the degree of market acceptance by physicians, patients, third-party payors, and others in the medical community necessary for commercial success.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Even if we obtain approvals from the FDA, the EMA, the PMDA, the TGA, or other comparable regulatory agencies and are able to initiate commercialization of our current in-development products or any future product candidates we develop, the product candidate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If the market size of any product candidate that obtains regulatory approval is significantly smaller than we anticipate, it may not achieve market acceptance or commercial success. This could significantly and negatively impact our business, financial condition, and results of operations.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marketing, and distribution capabilities for our current in-development products or our future product candidates, or enter into sales, marketing, and distribution agreements with third parties, we may not be successful in commercializing our product candidates, if and when they are approved.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do not have a sales or marketing infrastructure and have limited experience in the sale, marketing, or distribution of pharmaceutical products. To achieve commercial success for any product candidate for which we may obtain marketing approval, we will need to establish a sales and marketing organization or enter into collaboration, distribution, and other marketing arrangements with one or more third parties to commercialize such product candidate. In the United States, we intend to build a commercial organization to target areas with the greatest incidence of treatments for cancers and other indications to which our drugs and therapies are targeted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United States.</w:t>
      </w: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United States that is sufficient in size or has adequate expertise to target the areas that we intend to target. If we are unable to establish a sales force and marketing and distribution capabilities, our operating results may be adversely affected.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that may inhibit our efforts to commercialize our drugs on our own include:</w:t>
      </w:r>
    </w:p>
    <w:p>
      <w:pPr>
        <w:spacing w:after="0" w:line="233" w:lineRule="exact"/>
        <w:rPr>
          <w:sz w:val="20"/>
          <w:szCs w:val="20"/>
          <w:color w:val="auto"/>
        </w:rPr>
      </w:pPr>
    </w:p>
    <w:p>
      <w:pPr>
        <w:ind w:left="360" w:hanging="360"/>
        <w:spacing w:after="0"/>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recruit, train, and retain adequate numbers of effective sales and marketing personnel;</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physicians or persuade adequate numbers of physicians to prescribe any future products;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compared to companies with more extensive product lines;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and</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limitations with regard to setting up a distribution network.</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are unable to establish our own sales, marketing, and distribution capabilities in the United States and other jurisdictions in which our current in-development products or any future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sectPr>
          <w:pgSz w:w="12240" w:h="15840" w:orient="portrait"/>
          <w:cols w:equalWidth="0" w:num="1">
            <w:col w:w="10080"/>
          </w:cols>
          <w:pgMar w:left="1080" w:top="1088" w:right="1080" w:bottom="156"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88" w:right="1080" w:bottom="156" w:gutter="0" w:footer="0" w:header="0"/>
          <w:type w:val="continuous"/>
        </w:sectPr>
      </w:pPr>
    </w:p>
    <w:bookmarkStart w:id="39" w:name="page40"/>
    <w:bookmarkEnd w:id="39"/>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Coverage and adequate reimbursement may not be available for any of our in-development products or any future product candidates, which could make it difficult for us to sell profitably, if approved.</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any of our current in-development products and any future product candidates that we develop.</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be unable to realize the full commercial potential of our product candidates.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will strive to develop companion biomarkers for all drugs in our portfolio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if any, we may be forced to abandon any of our companion diagnostic development plans or we may not be able to compete effectively upon approval, which could adversely impact our ability to generate revenue from the sale of our to be approved products, if any, and our business operations.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2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to limit commercialization of any products that we may develop.</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use of any of our drug therapy candidates we may develop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w:t>
      </w:r>
    </w:p>
    <w:p>
      <w:pPr>
        <w:sectPr>
          <w:pgSz w:w="12240" w:h="15840" w:orient="portrait"/>
          <w:cols w:equalWidth="0" w:num="1">
            <w:col w:w="10080"/>
          </w:cols>
          <w:pgMar w:left="1080" w:top="1088" w:right="1080" w:bottom="15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1088" w:right="1080" w:bottom="156" w:gutter="0" w:footer="0" w:header="0"/>
          <w:type w:val="continuous"/>
        </w:sectPr>
      </w:pPr>
    </w:p>
    <w:bookmarkStart w:id="40" w:name="page41"/>
    <w:bookmarkEnd w:id="40"/>
    <w:p>
      <w:pPr>
        <w:jc w:val="both"/>
        <w:spacing w:after="0" w:line="238" w:lineRule="auto"/>
        <w:rPr>
          <w:sz w:val="20"/>
          <w:szCs w:val="20"/>
          <w:color w:val="auto"/>
        </w:rPr>
      </w:pPr>
      <w:r>
        <w:rPr>
          <w:rFonts w:ascii="Times New Roman" w:cs="Times New Roman" w:eastAsia="Times New Roman" w:hAnsi="Times New Roman"/>
          <w:sz w:val="20"/>
          <w:szCs w:val="20"/>
          <w:color w:val="auto"/>
        </w:rPr>
        <w:t>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product liability claims may result in:</w:t>
      </w:r>
    </w:p>
    <w:p>
      <w:pPr>
        <w:spacing w:after="0" w:line="233" w:lineRule="exact"/>
        <w:rPr>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our business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 and significant negative media attention;</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participants from our clinical trials;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defend the litigation;</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distraction of management’s attention from our primary business;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patients or other claimants;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commercialize THIO or any other product candidate;</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market demand for any product;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product liability insurance coverage carry may not be sufficient to reimburse us for any expenses or losses we may suffer. We intend to acquire insurance coverage to include larger clinical studies, different countries and the potential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the results of our operations and business, including preventing or limiting the commercialization of any product candidates we develop.</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hold $5 million in global product liability insurance coverage with a per incident limit of $5 million annually, which may not be adequate to cover all liabilities that we may incur. We may need to increase our insurance coverage as we expand our clinical trials or if we commence commercialization of any product candidates. Insurance coverage is increasingly expensive. We may not be able to obtain or maintain insurance coverage at a reasonable cost or in an amount adequate to satisfy any liability that may arise, if at all. Product liability insurance policies contain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2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There are a variety of risks associated with marketing our current in-development products or any future product candidates internationally, which could affect our business.</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may seek regulatory approvals for ENV 105 and/or any of our product candidates outside of the United States and, accordingly, we expect that we will be subject to additional risks related to operating in foreign countries if we obtain the necessary approvals, including:</w:t>
      </w:r>
    </w:p>
    <w:p>
      <w:pPr>
        <w:spacing w:after="0" w:line="236" w:lineRule="exact"/>
        <w:rPr>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regulatory requirements and reimbursement landscapes in foreign countries;</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tariffs, trade barriers, price and exchange controls, and other regulatory requirements;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revenues, and other obligations incident to doing business in another country;</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staffing and managing foreign operations;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liability under the U.S. Foreign Corrupt Practices Act of 1977, as amended, or the FCPA, or comparable foreign regulations;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88" w:right="1080" w:bottom="156" w:gutter="0" w:footer="0" w:header="0"/>
          <w:type w:val="continuous"/>
        </w:sectPr>
      </w:pPr>
    </w:p>
    <w:bookmarkStart w:id="41" w:name="page42"/>
    <w:bookmarkEnd w:id="41"/>
    <w:p>
      <w:pPr>
        <w:ind w:left="360" w:hanging="360"/>
        <w:spacing w:after="0" w:line="235" w:lineRule="auto"/>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These and other risks associated with our international operations may compromise our ability to achieve or maintain profitability.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Our employees and independent contractors, including principal investigators, clinical trial sites, contract research organizations, or CROs, consultants, vendors, and any third parties we may engage in connection with development and commercialization, may engage in misconduct or other improper activities, including noncompliance with regulatory standards and requirements, which could have a material adverse effect on our business.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employees and independent contractors, including principal investigators, clinical trial sites, consultants, vendors and any third parties we may engage in connection with development and commercialization of our product candidates, could engage in misconduct, including intentional, reckless or negligent conduct or unauthorized activities that violate: the laws and regulations of the FDA or other similar regulatory requirements of other authorities, including those laws that require the reporting of true, complete and accurate information to such authorities; manufacturing standards; data privacy, security, fraud and abuse and other healthcare laws and regulations;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2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rely on single-sourced third parties to conduct the preclinical and nonclinical studies, clinical trials, and manufacture of our clinical trial material for our current in-development products and our future product candidates, and those third parties may not perform satisfactorily, including failing to meet deadlines for the completion of such studies, trials, and manufacturing services or failing to comply with applicable regulatory requirements.</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engaged contract research organizations, or CROs, to conduct our ongoing and planned preclinical and nonclinical studies, clinical trials and manufacture of our clinical trial material. We also expect to engage CROs for any of our other future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w:t>
      </w:r>
    </w:p>
    <w:p>
      <w:pPr>
        <w:sectPr>
          <w:pgSz w:w="12240" w:h="15840" w:orient="portrait"/>
          <w:cols w:equalWidth="0" w:num="1">
            <w:col w:w="10080"/>
          </w:cols>
          <w:pgMar w:left="1080" w:top="1088" w:right="1080" w:bottom="156"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88" w:right="1080" w:bottom="156" w:gutter="0" w:footer="0" w:header="0"/>
          <w:type w:val="continuous"/>
        </w:sectPr>
      </w:pPr>
    </w:p>
    <w:bookmarkStart w:id="42" w:name="page43"/>
    <w:bookmarkEnd w:id="42"/>
    <w:p>
      <w:pPr>
        <w:jc w:val="both"/>
        <w:spacing w:after="0" w:line="239" w:lineRule="auto"/>
        <w:rPr>
          <w:sz w:val="20"/>
          <w:szCs w:val="20"/>
          <w:color w:val="auto"/>
        </w:rPr>
      </w:pPr>
      <w:r>
        <w:rPr>
          <w:rFonts w:ascii="Times New Roman" w:cs="Times New Roman" w:eastAsia="Times New Roman" w:hAnsi="Times New Roman"/>
          <w:sz w:val="20"/>
          <w:szCs w:val="20"/>
          <w:color w:val="auto"/>
        </w:rPr>
        <w:t>integrity, and confidentiality of trial participants are protected. Similar regulatory requirements apply outside the United States, including the International Council for Harmonisation of Technical Requirements for the Registration of Pharmaceuticals for Human Use, or the ICH. We are also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current in-development products and our future product candidates and will not be able to, or may be delayed in our efforts to, successfully commercialize such product candidates.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New Drug Application, or NDA, we submit. Any such delay or rejection could prevent us from commercializing our current in-development products or any future product candidates.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will rely on third-party contract manufacturing organizations, or CMOs, for the production of clinical supply of our drug therapy candidates and intend to rely on CMOs for the production of commercial supply our drug therapies, if approved. Our dependence on CMOs may impair the development and commercialization of the drug, which would adversely impact our business and financial position.</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limited personnel with experience in manufacturing, and we do not own facilities for manufacturing. Instead, we rely on and expect to continue to rely on CMOs for the supply of cGMP grade clinical trial materials and commercial quantities of any candidates we develop, if approved. Reliance on CMOs may expose us to more risk than if we were to manufacture our product candidates ourselves. We intend to have manufactured a sufficient clinical supply of our drug therapy substances to enable us to complete our clinical trials, and we have also engaged a CMO to provide clinical and commercial supply of the drug product.</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facilities used to manufacture our product candidates must be inspected by the FDA and comparable foreign authorities. While we provide oversight of manufacturing activities, we do not and will not control the execution of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If the FDA or comparable foreign regulatory authority finds deficiencies with or does not approve these facilities for the manufacture of our product candidates or if it withdraws any such approval or finds deficiencies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manufacture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If we were unable to find an adequate CMO or another acceptable solution in time, our clinical trials could be delayed, or our commercial activities could be harmed.</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w:t>
      </w:r>
    </w:p>
    <w:p>
      <w:pPr>
        <w:sectPr>
          <w:pgSz w:w="12240" w:h="15840" w:orient="portrait"/>
          <w:cols w:equalWidth="0" w:num="1">
            <w:col w:w="10080"/>
          </w:cols>
          <w:pgMar w:left="1080" w:top="1088" w:right="1080" w:bottom="156"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88" w:right="1080" w:bottom="156" w:gutter="0" w:footer="0" w:header="0"/>
          <w:type w:val="continuous"/>
        </w:sectPr>
      </w:pPr>
    </w:p>
    <w:bookmarkStart w:id="43" w:name="page44"/>
    <w:bookmarkEnd w:id="43"/>
    <w:p>
      <w:pPr>
        <w:jc w:val="both"/>
        <w:spacing w:after="0" w:line="238" w:lineRule="auto"/>
        <w:rPr>
          <w:sz w:val="20"/>
          <w:szCs w:val="20"/>
          <w:color w:val="auto"/>
        </w:rPr>
      </w:pPr>
      <w:r>
        <w:rPr>
          <w:rFonts w:ascii="Times New Roman" w:cs="Times New Roman" w:eastAsia="Times New Roman" w:hAnsi="Times New Roman"/>
          <w:sz w:val="20"/>
          <w:szCs w:val="20"/>
          <w:color w:val="auto"/>
        </w:rPr>
        <w:t>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Finding new CMOs or third-party suppliers involves additional cost and requires our management’s time and focus. In addition, there is typically a transition period when a new CMO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Any performance failure or regulatory noncompliance on the part of CMOs could delay clinical development or marketing approval of our current in-development products or any future product candidates or commercialization of such product candidates, resulting in additional losses, and depriving us of potential product revenue.</w:t>
      </w:r>
    </w:p>
    <w:p>
      <w:pPr>
        <w:spacing w:after="0" w:line="2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We currently rely on third parties, such as Fisher Clinical Services for drug supply and drug product manufacture of our current product candidate, and our strategy is to continue to outsource all manufacturing of our product candidates and approved products, if any, to third parties.</w:t>
      </w:r>
    </w:p>
    <w:p>
      <w:pPr>
        <w:spacing w:after="0" w:line="2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order to conduct clinical trials of our product candidates and prepare for commercialization, we will need to identify suitable manufacturers with the capabilities to manufacture our compounds in large quantities in a manner consistent with existing regulations. Our future plans include the identifying, qualifying, and contracting with a U.S. manufacturing site to manufacture ENV 105, assuming we have adequate financial resources to pursue contingency manufacturing plans.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do not currently have any agreements with third-party manufacturers for the long-term commercial supply of our current in-development products or any of our future product candidates. In the future, we may be unable to enter into agreements with third-party manufacturers for commercial supplies of such product candidates or may be unable to do so on acceptable terms.</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Even if we are able to establish and maintain arrangements with third-party manufacturers, reliance on third-party manufacturers entails risks, including:</w:t>
      </w:r>
    </w:p>
    <w:p>
      <w:pPr>
        <w:spacing w:after="0" w:line="234" w:lineRule="exact"/>
        <w:rPr>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Third-party manufacturers may not be able to comply with current Good Manufacturing Practice, or cGMP, regulations or similar regulatory requirements outside the United States. Our failure, or the failure of our third-party manufacturers, to comply with applicable regulations could result in sanctions being imposed on us, including fines, injunctions, civil penalties, delays,</w:t>
      </w:r>
    </w:p>
    <w:p>
      <w:pPr>
        <w:sectPr>
          <w:pgSz w:w="12240" w:h="15840" w:orient="portrait"/>
          <w:cols w:equalWidth="0" w:num="1">
            <w:col w:w="10080"/>
          </w:cols>
          <w:pgMar w:left="1080" w:top="1088" w:right="1080" w:bottom="156"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88" w:right="1080" w:bottom="156" w:gutter="0" w:footer="0" w:header="0"/>
          <w:type w:val="continuous"/>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9"/>
          <w:szCs w:val="19"/>
          <w:color w:val="auto"/>
        </w:rPr>
        <w:t>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2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current in-development products and our future products and product candidates may compete with other product candidates and products for access to manufacturing facilities. There are a limited number of manufacturers that operate under cGMP regulations and that might be capable of manufacturing for us.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current in-development products or any future product candidates or the substances used to manufacture them, it will be more difficult for us to develop such product candidates and compete effectively.</w:t>
      </w:r>
    </w:p>
    <w:p>
      <w:pPr>
        <w:spacing w:after="0" w:line="2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intend to continue to rely on third parties to conduct, supervise and monitor our clinical trials. If those third parties do not successfully carry out their contractual duties, or if they perform in an unsatisfactory manner, it may harm our business.</w:t>
      </w:r>
    </w:p>
    <w:p>
      <w:pPr>
        <w:spacing w:after="0" w:line="2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rely, and will continue to rely, on CROs, CRO-contracted vendors and clinical trial sites to ensure the proper and timely conduct of our clinical trials, including our Phase 2 trials. Our reliance on CROs for clinical development activities limits our control over these activities, but we remain responsible for ensuring that each of our trials is conducted in accordance with the applicable protocol and legal, regulatory and scientific standards.</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and our CROs will be required to comply with the good laboratory practice requirements for our preclinical studies and GCP requirements for our clinical trials, which are regulations and guidelines enforced by the FDA and are also required by comparable foreign regulatory authorities.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cGMP requirements. Accordingly, if our CROs fail to comply with these requirements, we may be required to repeat clinical trials, which would delay the regulatory approval process.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CROs are not our employees, and we do not control whether or not they devote sufficient time and resources to our clinical trials. Our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our relationship with any CROs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88" w:right="1080" w:bottom="156" w:gutter="0" w:footer="0" w:header="0"/>
          <w:type w:val="continuous"/>
        </w:sectPr>
      </w:pPr>
    </w:p>
    <w:bookmarkStart w:id="45" w:name="page46"/>
    <w:bookmarkEnd w:id="45"/>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number and type of our collaborations could adversely affect our attractiveness to future collaborators or acquirers and the loss of, or a disruption in our relationship with, any one or more collaborators could harm our business.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any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product candidates could be delayed, and we may need additional resources to develop additional product candidates. All of the risks relating to product development, regulatory approval and commercialization described in this Annual Report also apply to the activities of any collaborators and there can be no assurance that our collaborations will produce positive results or successful products on a timely basis or at all.</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subject to its contractual obligations to us, if one of our collaborators is involved in a business combination or otherwise changes its business priorities, the collaborator might deemphasize or terminate the development or commercialization of our product candidates. If a collaborator terminates its agreement with us, we may find it more difficult to attract new collaborators and the perception of our business and our stock price could be adversely affected.</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2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relying exclusively on the skills and expertise of our management team in conducting our business, not all of whom will devote all of their time to managing the Company, and we currently only have one full-time employee, which may impede our ability to carry on our business.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are relying exclusively on the skills and expertise of our management team in conducting our business. Not all of our management team presently devotes all of their time to managing the Company. While our Chief Financial Officer serves on a full-time basis, we have no other full-time employees, which may impede our ability to carry on our business. The lack of full-time employees among our officers may very well prevent the Company’s operations from being efficient, and may impair the business progress and growth, which is a risk to any investor. Our lack of full-time management may be an impediment to our business development. Without full-time officers, aside from our Chief Financial Officer, we may not have sufficient time and effort devoted to our commercialization efforts, or efforts to find and raise additional capital, or manage our business, which could impair our ability to succeed in our business plan and could cause investment in our Company to lose value.</w:t>
      </w: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operate with a small team and our future success depends on our ability to retain key executives and to attract, retain, and motivate qualified personnel.</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future success depends on our ability to retain our key officers and employees and to attract, retain and motivate highly qualified management and scientific personnel.</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currently have limited personnel. As of the date of this Annual Report, we had three part-time employees, including our Chief Executive officer, and our Chief Financial Officer was our only full-time employee. We are highly dependent on the management, research and development, clinical, financial and business development expertise of Dr. Yu and Dr. Bhowmick. Each of them may currently terminate their employments with us at any time. We do not maintain “key person” insurance for any of our executives or employees.</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will need to attract, hire and retain qualified officers and employees to achieve the Company’s objectives. Recruiting and retaining qualified scientific personnel and sales and marketing personnel will be critical to our success. We may not be able to attract and retain these personnel on acceptable terms given the competition among pharmaceutical, biotechnology and</w:t>
      </w:r>
    </w:p>
    <w:p>
      <w:pPr>
        <w:sectPr>
          <w:pgSz w:w="12240" w:h="15840" w:orient="portrait"/>
          <w:cols w:equalWidth="0" w:num="1">
            <w:col w:w="10080"/>
          </w:cols>
          <w:pgMar w:left="1080" w:top="1088" w:right="1080" w:bottom="15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88" w:right="1080" w:bottom="156" w:gutter="0" w:footer="0" w:header="0"/>
          <w:type w:val="continuous"/>
        </w:sectPr>
      </w:pPr>
    </w:p>
    <w:bookmarkStart w:id="46" w:name="page47"/>
    <w:bookmarkEnd w:id="46"/>
    <w:p>
      <w:pPr>
        <w:jc w:val="both"/>
        <w:spacing w:after="0" w:line="239" w:lineRule="auto"/>
        <w:rPr>
          <w:sz w:val="20"/>
          <w:szCs w:val="20"/>
          <w:color w:val="auto"/>
        </w:rPr>
      </w:pPr>
      <w:r>
        <w:rPr>
          <w:rFonts w:ascii="Times New Roman" w:cs="Times New Roman" w:eastAsia="Times New Roman" w:hAnsi="Times New Roman"/>
          <w:sz w:val="20"/>
          <w:szCs w:val="20"/>
          <w:color w:val="auto"/>
        </w:rPr>
        <w:t>diagnostic companies for similar personnel. Furthermore, current officers or employees may decide to leave the Company, and current or former officers or employees may decide to sue the Company for owed but unpaid compensation. The loss of any of these persons’ expertise would be difficult to replace and could have a material adverse effect on our ability to achieve our business goals.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any of our current in-development products or any future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from large, well-funded, and experienced competitors, which may result in others discovering, developing or commercializing products before or more successfully than we do.</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pharmaceutical and biotechnology industries are characterized by rapidly advancing technologies, intense competition, and a strong emphasis on proprietary products. The immuno-oncology segment of the industry is in particular highly competitive. We face potential competition from many different sources, including major pharmaceutical, specialty pharmaceutical, and biotechnology companies, academic institutions and governmental agencies, and public and private research institutions. Regardless of the degree of success in development of our technology, the Company faces competition from much larger enterprises and different technologies, disadvantages inherent in attempting to negotiate licensing or other transactions with companies with vastly larger financial, scientific and other resources, lack of management experienced in commercial business operations, reliance on contract laboratories and other third party service providers, lack of financial and other resources, challenges to the validity of intellectual property, potential product liabilities, and regulatory risks including product and reimbursement permits and regulations. Many of our competitors and potential competitors have substantially greater financial, technological, managerial and research and development resources and experience than we do. We are aware of other products under development, which, if successfully developed and commercialized, would compete with our products. We may be unable to keep pace with the rapid technological changes in the biotechnology/medical device industry and as a result, our technologies may become obsolete. Smaller or early-stage companies may also prove to be significant competitors, particularly through collaborative arrangements with large and established companies.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medicines that are safer, are more effective, have fewer or less severe side effects, are more convenient or are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medicines.</w:t>
      </w:r>
    </w:p>
    <w:p>
      <w:pPr>
        <w:spacing w:after="0" w:line="2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88" w:right="1080" w:bottom="156" w:gutter="0" w:footer="0" w:header="0"/>
          <w:type w:val="continuous"/>
        </w:sectPr>
      </w:pPr>
    </w:p>
    <w:bookmarkStart w:id="47" w:name="page48"/>
    <w:bookmarkEnd w:id="47"/>
    <w:p>
      <w:pPr>
        <w:jc w:val="both"/>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pacing w:after="0" w:line="69" w:lineRule="exact"/>
        <w:rPr>
          <w:rFonts w:ascii="Times New Roman" w:cs="Times New Roman" w:eastAsia="Times New Roman" w:hAnsi="Times New Roman"/>
          <w:sz w:val="19"/>
          <w:szCs w:val="19"/>
          <w:color w:val="auto"/>
        </w:rPr>
      </w:pPr>
    </w:p>
    <w:p>
      <w:pPr>
        <w:ind w:left="360" w:hanging="360"/>
        <w:spacing w:after="0" w:line="235"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design and maintain effective controls related to the accounting for certain non-routine or complex transactions, including the proper application of U.S. GAAP to such transactions.</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54" w:lineRule="auto"/>
        <w:tabs>
          <w:tab w:leader="none" w:pos="3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did not design and maintain effective controls over information technology, or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address our material weaknesses, we are in the process of implementing measures designed to improve our internal control over financial reporting and remediate the control deficiencies that led to the material weaknesses. These measures include (i) the ongoing hiring of additional accounting personnel; (ii), initiating design and implementation of our financial control environment, including the establishment of formal accounting policies and procedures, financial reporting controls and controls to account for and disclose complex transactions; and (iii) initiating and designing IT controls to insure appropriate and restricted access to our accounting applications, programs, and data.</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working to remediate the material weaknesses as efficiently and effectively as possible. We cannot assure you that there will not be future material weaknesses in our internal control over financial reporting in the future. Any failure to maintain internal control over financial reporting could severely inhibit our ability to accurately report our financial condition, results of operations, or cash flows. If we fail to remediate our identified material weaknesses, or identify additional material weaknesses, in our internal control over financial reporting investors may lose confidence in the accuracy and completeness of our financial reports, the market price of our common stock could decline, and we could be subject to sanctions or investigations by the exchange we are listed on, the NYSE American, the Securities and Exchange Commission, or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research, development, and business capabilities and potentially implement sales, marketing, and distribution capabilities, and as a result, we may encounter difficulties in managing our growth, which could disrupt our operations.</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the clinical development of our current in-development products and any of our future product candidates progresses, we also expect to experience significant growth in the number of our employees and the scope of our operations, particularly in</w:t>
      </w:r>
    </w:p>
    <w:p>
      <w:pPr>
        <w:sectPr>
          <w:pgSz w:w="12240" w:h="15840" w:orient="portrait"/>
          <w:cols w:equalWidth="0" w:num="1">
            <w:col w:w="10080"/>
          </w:cols>
          <w:pgMar w:left="1080" w:top="1088" w:right="1080" w:bottom="156"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88" w:right="1080" w:bottom="156" w:gutter="0" w:footer="0" w:header="0"/>
          <w:type w:val="continuous"/>
        </w:sectPr>
      </w:pPr>
    </w:p>
    <w:bookmarkStart w:id="48" w:name="page49"/>
    <w:bookmarkEnd w:id="48"/>
    <w:p>
      <w:pPr>
        <w:jc w:val="both"/>
        <w:spacing w:after="0"/>
        <w:rPr>
          <w:sz w:val="20"/>
          <w:szCs w:val="20"/>
          <w:color w:val="auto"/>
        </w:rPr>
      </w:pPr>
      <w:r>
        <w:rPr>
          <w:rFonts w:ascii="Times New Roman" w:cs="Times New Roman" w:eastAsia="Times New Roman" w:hAnsi="Times New Roman"/>
          <w:sz w:val="20"/>
          <w:szCs w:val="20"/>
          <w:color w:val="auto"/>
        </w:rPr>
        <w:t>the areas of research, drug development, regulatory affairs and, if any of our current in-development products or any future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research and development resources. Any inability to manage growth could delay the execution of our business plans or disrupt our operations.</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From time to time, we may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spacing w:after="0" w:line="234" w:lineRule="exact"/>
        <w:rPr>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assimilation of operations, intellectual property, and drug products of an acquired company, including difficulties associated with integrating new personnel;</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our management’s attention from our existing drug programs and initiatives in pursuing such a strategic partnership, merger, or acquisition;</w:t>
      </w:r>
    </w:p>
    <w:p>
      <w:pPr>
        <w:spacing w:after="0" w:line="8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retention of key employees, the loss of key personnel and uncertainties in our ability to maintain key business relationships;</w:t>
      </w:r>
    </w:p>
    <w:p>
      <w:pPr>
        <w:spacing w:after="0" w:line="82" w:lineRule="exact"/>
        <w:rPr>
          <w:rFonts w:ascii="Times New Roman" w:cs="Times New Roman" w:eastAsia="Times New Roman" w:hAnsi="Times New Roman"/>
          <w:sz w:val="19"/>
          <w:szCs w:val="19"/>
          <w:color w:val="auto"/>
        </w:rPr>
      </w:pPr>
    </w:p>
    <w:p>
      <w:pPr>
        <w:ind w:left="360" w:hanging="360"/>
        <w:spacing w:after="0" w:line="236"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drugs or drug candidates and regulatory approvals; and</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generate revenue from acquired technology and/or drugs sufficient to meet our objectives in undertaking the acquisition or even to offset the associated acquisition and maintenance costs.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exclusive licensing rights to our intellectual property are subject to agreements with third parties and we may not meet milestones set forth in those agreements; our exclusive licensing rights may be terminated.</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agreements with Cedars-Sinai Medical Center and Tracon Pharmaceuticals, Inc., which were originally between each of Cedars-Sinai and Tracon and our subsidiary, Enviro Therapeutics, Inc., and which were assumed by the Company effective April 17, 2025 pursuant to a novation agreement, are contingent on our ability to make payments and meet commercialization goals, which we may not be able to meet based on innumerable factors. If we do not make such payments or meet such milestones, our exclusive licensing rights to our intellectual property may be terminated. Even if we meet certain milestones, we may not be able to make the required payments, which may cause us to breach such agreements.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patent and other intellectual property protection for our technology, or for any our current in-development products or our future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do not own any issued patents and we in-license patents and patent applications for ENV 105, our lead drug compounds, and our success depends in large part on our ability to obtain and maintain patent protection in the United States and other countries with respect to ENV 105 and any of our future product candidates. We seek to protect our proprietary position by in-licensing intellectual property relating to our product candidates including patent applications in the United States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United States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w:t>
      </w:r>
    </w:p>
    <w:p>
      <w:pPr>
        <w:sectPr>
          <w:pgSz w:w="12240" w:h="15840" w:orient="portrait"/>
          <w:cols w:equalWidth="0" w:num="1">
            <w:col w:w="10080"/>
          </w:cols>
          <w:pgMar w:left="1080" w:top="1088" w:right="1080" w:bottom="156"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88" w:right="1080" w:bottom="156" w:gutter="0" w:footer="0" w:header="0"/>
          <w:type w:val="continuous"/>
        </w:sectPr>
      </w:pPr>
    </w:p>
    <w:bookmarkStart w:id="49" w:name="page50"/>
    <w:bookmarkEnd w:id="49"/>
    <w:p>
      <w:pPr>
        <w:jc w:val="both"/>
        <w:spacing w:after="0" w:line="241" w:lineRule="auto"/>
        <w:rPr>
          <w:sz w:val="20"/>
          <w:szCs w:val="20"/>
          <w:color w:val="auto"/>
        </w:rPr>
      </w:pPr>
      <w:r>
        <w:rPr>
          <w:rFonts w:ascii="Times New Roman" w:cs="Times New Roman" w:eastAsia="Times New Roman" w:hAnsi="Times New Roman"/>
          <w:sz w:val="20"/>
          <w:szCs w:val="20"/>
          <w:color w:val="auto"/>
        </w:rPr>
        <w:t>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or prospects. The patent position of biotechnology and pharmaceutical companies generally is highly uncertain and has been the subject of much litigation in recent years.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and future changes in patent laws in or outside the United States may affect the scope, strength, and enforceability of our patent rights or the nature of proceedings that may be brought by us related to our patent rights.</w:t>
      </w:r>
    </w:p>
    <w:p>
      <w:pPr>
        <w:spacing w:after="0" w:line="2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We may not be aware of all third-party intellectual property rights potentially relating to our current in-development products or our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or USPTO, or become involved in opposition, derivation,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spacing w:after="0" w:line="2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invalid and/or unenforceable.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our in-licensed patents or patents we may own in the future may be challenged in the courts or patent offices in the United States and abroad. Such challenges may result in loss of exclusivity or freedom to operate or in patent claims being narrowed, invalidated or held</w:t>
      </w:r>
    </w:p>
    <w:p>
      <w:pPr>
        <w:sectPr>
          <w:pgSz w:w="12240" w:h="15840" w:orient="portrait"/>
          <w:cols w:equalWidth="0" w:num="1">
            <w:col w:w="10080"/>
          </w:cols>
          <w:pgMar w:left="1080" w:top="1088" w:right="1080" w:bottom="15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88" w:right="1080" w:bottom="156" w:gutter="0" w:footer="0" w:header="0"/>
          <w:type w:val="continuous"/>
        </w:sectPr>
      </w:pPr>
    </w:p>
    <w:bookmarkStart w:id="50" w:name="page51"/>
    <w:bookmarkEnd w:id="50"/>
    <w:p>
      <w:pPr>
        <w:jc w:val="both"/>
        <w:spacing w:after="0"/>
        <w:rPr>
          <w:sz w:val="20"/>
          <w:szCs w:val="20"/>
          <w:color w:val="auto"/>
        </w:rPr>
      </w:pPr>
      <w:r>
        <w:rPr>
          <w:rFonts w:ascii="Times New Roman" w:cs="Times New Roman" w:eastAsia="Times New Roman" w:hAnsi="Times New Roman"/>
          <w:sz w:val="20"/>
          <w:szCs w:val="20"/>
          <w:color w:val="auto"/>
        </w:rPr>
        <w:t>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prospects.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CROs or other contractors or consultants, may fail or suffer security breaches, which could result in a material disruption of our product development programs.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Despite the implementation of cyber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example, the loss of preclinical data or data from any future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proprietary information, or that of our customers, suppliers and business partners, may be lost or we may suffer security breaches.</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the ordinary course of our business, we collect and store sensitive data, including intellectual property, clinical trial data, our proprietary business information and that of our customers, suppliers and business partners, and personally identifiable information of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 or the networks of our CROs or other third-party service providers,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our products and our ability to conduct clinical trials, which could adversely affect our business and reputation and lead to delays in gaining regulatory approvals for our drugs.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Our rights to develop and commercialize our technology, our current in-development products, and our other future product candidates are subject, in large part, to the terms and conditions of licenses granted to us by others, such as Cedars-Sinai Medical Center and Tracon Pharmaceuticals, Inc.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are heavily reliant upon licenses to certain patent rights and other intellectual property that are important or necessary to the development of our current in-development products or our future product candidates. For example, we depend on license agreements from Cedars-Sinai Medical Center and Tracon Pharmaceuticals, Inc.</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Cedars-Sinai and Tracon have relied upon, and any future licensors may have relied upon, third-party companies, consultants or collaborators, or on funds from third parties such that our licensors are not the sole and exclusive owners of the patents we in-licensed. We have sublicensed certain patents from Cedars-Sinai and Tracon. If third-party institutions such as Cedars-Sinai or Tracon fail to prosecute, maintain, enforce, and defend such patents, or lose rights to those patents, the rights we have licensed may be reduced or eliminated, and our right to develop and commercialize our current in-development products or our other future product candidates that are the subject of such licensed rights could be adversely affected. Further development and commercialization of ENV 105, and development of any future product candidates may, require us to enter into additional license or collaboration agreements. For example, our licensors or other third parties may develop intellectual property covering ENV 105 which we have not licensed.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current in-development products or our future product candidates in the future.</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88" w:right="1080" w:bottom="156" w:gutter="0" w:footer="0" w:header="0"/>
          <w:type w:val="continuous"/>
        </w:sectPr>
      </w:pPr>
    </w:p>
    <w:bookmarkStart w:id="51" w:name="page52"/>
    <w:bookmarkEnd w:id="51"/>
    <w:p>
      <w:pPr>
        <w:jc w:val="both"/>
        <w:spacing w:after="0"/>
        <w:rPr>
          <w:sz w:val="20"/>
          <w:szCs w:val="20"/>
          <w:color w:val="auto"/>
        </w:rPr>
      </w:pPr>
      <w:r>
        <w:rPr>
          <w:rFonts w:ascii="Times New Roman" w:cs="Times New Roman" w:eastAsia="Times New Roman" w:hAnsi="Times New Roman"/>
          <w:sz w:val="20"/>
          <w:szCs w:val="20"/>
          <w:color w:val="auto"/>
        </w:rPr>
        <w:t>Our license agreements with Cedars-Sinai and Tracon, and other intellectual property-related agreements we may enter into in the future may impose diligence and other obligations, including payment of milestones and royalties. For example, our license agreement from Cedars requires us to satisfy diligence requirements, including using commercially reasonable efforts to develop and commercialize products. If we fail to comply with our obligations to our present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spite of our efforts, Cedars-Sinai, Tracon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prospects.</w:t>
      </w:r>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Under our license agreements with Cedars-Sinai and Tracon, and any future license agreements, disputes may arise regarding intellectual property subject to a licensing agreement, including:</w:t>
      </w:r>
    </w:p>
    <w:p>
      <w:pPr>
        <w:spacing w:after="0" w:line="165" w:lineRule="exact"/>
        <w:rPr>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licensor that is not subject to the licensing agreement;</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sublicensing of patent and other rights under our collaborative development relationships;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inventorship and ownership of inventions and know-how resulting from the joint creation or use of intellectual property by our licensors and us and our partners; and</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necessary rights to any product candidates we may develop through acquisitions and in-licenses.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currently have rights to intellectual property, through licenses from third parties, to identify and develop product candidates. We may find it necessary or prudent to obtain licenses from such third-party intellectual property holders in order to avoid infringing these third-party patents. For example, many pharmaceutical companies, biotechnology companies, and academic institutions compete with us and may be filing patent applications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88" w:right="1080" w:bottom="156" w:gutter="0" w:footer="0" w:header="0"/>
          <w:type w:val="continuous"/>
        </w:sectPr>
      </w:pPr>
    </w:p>
    <w:bookmarkStart w:id="52" w:name="page53"/>
    <w:bookmarkEnd w:id="52"/>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owned or in-licensed patents or other intellectual property, which could be expensive, time-consuming, and unsuccessful.</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Competitors or other third parties may infringe, misappropriate or otherwise violate our in-licensed issued patents or our other intellectual property we may own. To counter such infringement, misappropriation,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In addition, our in-licensed patents may become involved in inventorship or priority disputes. Third parties may raise challenges to the validity of certain of our or our in-licensed patent claims and may in the future raise similar claims before administrative bodies in the United States or abroad, even outside the context of litigation. For example, we may be subject to a third-party pre-issuance submission of prior art to the USPTO, or become involved in derivation, revocation, reexamination, post-grant review, or PGR,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or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current in-development products or our other future product candidates and compete directly with us, without payment to us, or result in our inability to manufacture or commercialize products without infringing third-party patent rights In a patent infringement proceeding, there is a risk that a court will decide that a patent we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in-licensed patents do not cover the invention. An adverse outcome in a litigation or proceeding involving our in-licensed patents could limit our ability to assert our in-licensed patents against those parties or other competitors and may curtail or preclude our ability to exclude third parties from making and selling similar or competitive products. Similarly, in the future, we expect to rely on trademarks to distinguish our current in-development products and any of our other future product candidates that are approved for marketing, and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2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prospects.</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commercial success depends, in part, on our ability to develop, manufacture, market, and sell our current in-development products or other future product candidates and use our proprietary chemistry technology without infringing, misappropriating or otherwise violating the intellectual property of third parties. Numerous third-party U.S. and non-U.S. issued patents exist in the area of cancer therapies and other therapies our drugs are targeted to treat.</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88" w:right="1080" w:bottom="156" w:gutter="0" w:footer="0" w:header="0"/>
          <w:type w:val="continuous"/>
        </w:sectPr>
      </w:pPr>
    </w:p>
    <w:bookmarkStart w:id="53" w:name="page54"/>
    <w:bookmarkEnd w:id="53"/>
    <w:p>
      <w:pPr>
        <w:jc w:val="both"/>
        <w:spacing w:after="0" w:line="239" w:lineRule="auto"/>
        <w:rPr>
          <w:sz w:val="20"/>
          <w:szCs w:val="20"/>
          <w:color w:val="auto"/>
        </w:rPr>
      </w:pPr>
      <w:r>
        <w:rPr>
          <w:rFonts w:ascii="Times New Roman" w:cs="Times New Roman" w:eastAsia="Times New Roman" w:hAnsi="Times New Roman"/>
          <w:sz w:val="20"/>
          <w:szCs w:val="20"/>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If we are found to have infringed, misappropriated, or otherwise violated any third party’s intellectual property rights, we could be forced, including by court order, to cease developing, manufacturing, or commercializing our current in-development products or other future product candidates. Alternatively, we may be required to obtain a license from such third party in order to use technology and continue developing, manufacturing or marketing product candidates that infringe or violate such third party’s intellectual property.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current in-development products or other future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could be compromised by disclosure during this type of litigation. During the court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prospects.</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be subject to claims by third parties asserting that we or our employees, consultants, and advisors have misappropriated </w:t>
      </w:r>
      <w:r>
        <w:rPr>
          <w:rFonts w:ascii="Times New Roman" w:cs="Times New Roman" w:eastAsia="Times New Roman" w:hAnsi="Times New Roman"/>
          <w:sz w:val="20"/>
          <w:szCs w:val="20"/>
          <w:color w:val="auto"/>
        </w:rPr>
        <w:t>their</w:t>
      </w:r>
      <w:r>
        <w:rPr>
          <w:rFonts w:ascii="Times New Roman" w:cs="Times New Roman" w:eastAsia="Times New Roman" w:hAnsi="Times New Roman"/>
          <w:sz w:val="20"/>
          <w:szCs w:val="20"/>
          <w:b w:val="1"/>
          <w:bCs w:val="1"/>
          <w:i w:val="1"/>
          <w:iCs w:val="1"/>
          <w:color w:val="auto"/>
        </w:rPr>
        <w:t xml:space="preserve"> intellectual property or claiming ownership of what we regard as our own intellectual property.</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rights may not be self-executing and we may be forced to bring claims against third parties, or defend claims that they may bring against us, to determine the ownership of what we regard as our intellectual property.</w:t>
      </w:r>
    </w:p>
    <w:p>
      <w:pPr>
        <w:spacing w:after="0" w:line="2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 A court could prohibit us from using technologies or features that are essential to our current in-development products or other future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prospects.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88" w:right="1080" w:bottom="156" w:gutter="0" w:footer="0" w:header="0"/>
          <w:type w:val="continuous"/>
        </w:sectPr>
      </w:pPr>
    </w:p>
    <w:bookmarkStart w:id="54" w:name="page55"/>
    <w:bookmarkEnd w:id="54"/>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Changes in U.S. patent law could diminish the value of patents in general, thereby impairing our ability to protect our </w:t>
      </w:r>
      <w:r>
        <w:rPr>
          <w:rFonts w:ascii="Times New Roman" w:cs="Times New Roman" w:eastAsia="Times New Roman" w:hAnsi="Times New Roman"/>
          <w:sz w:val="20"/>
          <w:szCs w:val="20"/>
          <w:b w:val="1"/>
          <w:bCs w:val="1"/>
          <w:color w:val="auto"/>
        </w:rPr>
        <w:t>products</w:t>
      </w:r>
      <w:r>
        <w:rPr>
          <w:rFonts w:ascii="Times New Roman" w:cs="Times New Roman" w:eastAsia="Times New Roman" w:hAnsi="Times New Roman"/>
          <w:sz w:val="20"/>
          <w:szCs w:val="20"/>
          <w:b w:val="1"/>
          <w:bCs w:val="1"/>
          <w:i w:val="1"/>
          <w:iCs w:val="1"/>
          <w:color w:val="auto"/>
        </w:rPr>
        <w:t>.</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is the case with other pharmaceutical companies, our success is heavily dependent on our intellectual property rights, and particularly on our in-licensed patent rights. Obtaining and enforcing patents in the pharmaceutical industry involves both technological and legal complexity, and is therefore costly, time consuming and inherently uncertain. In addition, the U.S. has recently enacted and is currently implementing wide-ranging patent reform legislation. Certain U.S. Supreme Court rulings have narrowed the scope of patent protection available in certain circumstances and weakened the rights of patent owners in certain situations. In addition to increasing uncertainty with regard to our ability to obtain rights to patents in the future, this combination of events has created uncertainty with respect to the value of patents once rights are obtained. Depending on decisions by the U.S. Congress, the federal courts and the USPTO, the laws and regulations governing patents could change in unpredictable ways that could further negatively impact the value of patent rights, narrow the scope of available patent protection or weaken the rights of patent owners.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trademarks we may obtain may be infringed or successfully challenged, resulting in harm to our business.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any proprietary name we propose to use with our current in-development products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prospects may be adversely affected.</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proprietary information, know-how, and trade secrets, the value of our current in-development products or other future product candidates could be adversely affected, and our business and competitive position would be harmed.</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addition to seeking patent protection for our current in-development products or other future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United States,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sectPr>
          <w:pgSz w:w="12240" w:h="15840" w:orient="portrait"/>
          <w:cols w:equalWidth="0" w:num="1">
            <w:col w:w="10080"/>
          </w:cols>
          <w:pgMar w:left="1080" w:top="1088" w:right="1080" w:bottom="156"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1088" w:right="1080" w:bottom="156" w:gutter="0" w:footer="0" w:header="0"/>
          <w:type w:val="continuous"/>
        </w:sectPr>
      </w:pPr>
    </w:p>
    <w:bookmarkStart w:id="55" w:name="page56"/>
    <w:bookmarkEnd w:id="55"/>
    <w:p>
      <w:pPr>
        <w:jc w:val="both"/>
        <w:spacing w:after="0" w:line="241" w:lineRule="auto"/>
        <w:rPr>
          <w:sz w:val="20"/>
          <w:szCs w:val="20"/>
          <w:color w:val="auto"/>
        </w:rPr>
      </w:pPr>
      <w:r>
        <w:rPr>
          <w:rFonts w:ascii="Times New Roman" w:cs="Times New Roman" w:eastAsia="Times New Roman" w:hAnsi="Times New Roman"/>
          <w:sz w:val="20"/>
          <w:szCs w:val="20"/>
          <w:color w:val="auto"/>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prospects.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or our licensors do not obtain patent term extension and data exclusivity for any product candidates we or our licensors may develop, our business may be materially harmed.</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marketing approval of any of our product candidates, one or more of our in-licensed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 fees on patents and applications will be due to be paid to the USPTO and various government patent agencies outside of the United States over the lifetime of our owned or in-licensed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or our licensors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or our licensors do pursue patent protection. Consequently, we may not be able to prevent third parties from practicing our in-licensed inventions in all countries outside the United States, even in jurisdictions where our licensors do pursue patent protection or from selling or importing products made using our inventions in and into the United States or other jurisdictions.</w:t>
      </w:r>
    </w:p>
    <w:p>
      <w:pPr>
        <w:sectPr>
          <w:pgSz w:w="12240" w:h="15840" w:orient="portrait"/>
          <w:cols w:equalWidth="0" w:num="1">
            <w:col w:w="10080"/>
          </w:cols>
          <w:pgMar w:left="1080" w:top="1088" w:right="1080" w:bottom="156"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1088" w:right="1080" w:bottom="156" w:gutter="0" w:footer="0" w:header="0"/>
          <w:type w:val="continuous"/>
        </w:sectPr>
      </w:pPr>
    </w:p>
    <w:bookmarkStart w:id="56" w:name="page57"/>
    <w:bookmarkEnd w:id="56"/>
    <w:p>
      <w:pPr>
        <w:jc w:val="both"/>
        <w:spacing w:after="0" w:line="239" w:lineRule="auto"/>
        <w:rPr>
          <w:sz w:val="20"/>
          <w:szCs w:val="20"/>
          <w:color w:val="auto"/>
        </w:rPr>
      </w:pPr>
      <w:r>
        <w:rPr>
          <w:rFonts w:ascii="Times New Roman" w:cs="Times New Roman" w:eastAsia="Times New Roman" w:hAnsi="Times New Roman"/>
          <w:sz w:val="20"/>
          <w:szCs w:val="20"/>
          <w:color w:val="auto"/>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current in-development products, our future product candidates, and our preclinical programs. Our in-licensed patents or other intellectual property rights may not be effective or sufficient to prevent them from competing.</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in-licensed patents,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in-licensed patents at risk of being invalidated or interpreted narrowly and our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Healthcare Laws and Other Legal Compliance Matters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If we successfully commercialize our current in-development products or one of our future product candidates, failure to comply with our reporting and payment obligations under U.S. governmental pricing programs could have a material adverse effect on our business, financial condition, and results of operations.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participate in the Medicaid Drug Rebate Program,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spacing w:after="0" w:line="250" w:lineRule="exact"/>
        <w:rPr>
          <w:sz w:val="20"/>
          <w:szCs w:val="20"/>
          <w:color w:val="auto"/>
        </w:rPr>
      </w:pPr>
    </w:p>
    <w:p>
      <w:pPr>
        <w:jc w:val="both"/>
        <w:ind w:left="360" w:hanging="360"/>
        <w:spacing w:after="0" w:line="239" w:lineRule="auto"/>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ectPr>
          <w:pgSz w:w="12240" w:h="15840" w:orient="portrait"/>
          <w:cols w:equalWidth="0" w:num="1">
            <w:col w:w="10080"/>
          </w:cols>
          <w:pgMar w:left="1080" w:top="1088" w:right="1080" w:bottom="156"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088" w:right="1080" w:bottom="156" w:gutter="0" w:footer="0" w:header="0"/>
          <w:type w:val="continuous"/>
        </w:sectPr>
      </w:pPr>
    </w:p>
    <w:bookmarkStart w:id="57" w:name="page58"/>
    <w:bookmarkEnd w:id="57"/>
    <w:p>
      <w:pPr>
        <w:jc w:val="both"/>
        <w:ind w:left="360" w:hanging="360"/>
        <w:spacing w:after="0" w:line="239"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federal civil and criminal false claims laws, including the federal False Claims Act, which impose criminal and civil penalties, including through civil whistleblower or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84"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87"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created under Section 6002 of Patient Protection and Affordable Care Act, as amended by the Health Care and Education Reconciliation Act, or collectively, the ACA, and its implementing regulations, created annual reporting requirements for manufacturers of drugs, devices, biologicals, and medical supplies for certain payments and “transfers of value” provided to physicians (defined to include doctors, dentists, optometrists, podiatrists, and chiropractors) and teaching hospitals, as well as ownership and investment interests held by physicians and their immediate family members. As of January 1, 2022, these reporting obligations will extend to include transfers of value made in the previous year to certain non-physician providers such as physician assistants and nurse practitioners; and</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41"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licensure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Further, the ACA, among other things, amended the intent requirement of the federal Anti-Kickback Statute and certain criminal statutes governing healthcare fraud. A person or entity no longer needs to have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w:t>
      </w:r>
    </w:p>
    <w:p>
      <w:pPr>
        <w:sectPr>
          <w:pgSz w:w="12240" w:h="15840" w:orient="portrait"/>
          <w:cols w:equalWidth="0" w:num="1">
            <w:col w:w="10080"/>
          </w:cols>
          <w:pgMar w:left="1080" w:top="1088" w:right="1080" w:bottom="156"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1088" w:right="1080" w:bottom="156" w:gutter="0" w:footer="0" w:header="0"/>
          <w:type w:val="continuous"/>
        </w:sectPr>
      </w:pPr>
    </w:p>
    <w:bookmarkStart w:id="58" w:name="page59"/>
    <w:bookmarkEnd w:id="58"/>
    <w:p>
      <w:pPr>
        <w:jc w:val="both"/>
        <w:spacing w:after="0" w:line="238" w:lineRule="auto"/>
        <w:rPr>
          <w:sz w:val="20"/>
          <w:szCs w:val="20"/>
          <w:color w:val="auto"/>
        </w:rPr>
      </w:pPr>
      <w:r>
        <w:rPr>
          <w:rFonts w:ascii="Times New Roman" w:cs="Times New Roman" w:eastAsia="Times New Roman" w:hAnsi="Times New Roman"/>
          <w:sz w:val="20"/>
          <w:szCs w:val="20"/>
          <w:color w:val="auto"/>
        </w:rPr>
        <w:t>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there has been increasing legislative and enforcement interest in the United States with respect to specialty drug pricing practices. Specifically, there have been Congressional inquiries and proposed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2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Changes in healthcare policies, laws, and regulations may impact our ability to obtain approval for, or commercialize our current in-development products or our future product candidates, if approved.</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ACA is unconstitutional in its entirety because the “individual mandate” was repealed by Congress. Thus, the Affordable Care Act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Affordable Care Act will be subject to judicial or Congressional challenges in the future.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Further, based on a recent executive order, the Biden administration expressed its intent to pursue certain policy initiatives to reduce drug prices. We expect that additional U.S. federal healthcare reform measures will be adopted in the future, any of which could limit the amounts that the U.S. federal government will pay for healthcare products and services, which could result in reduced demand for our current in-development products or our future product candidates or additional pricing pressures.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088" w:right="1080" w:bottom="156" w:gutter="0" w:footer="0" w:header="0"/>
          <w:type w:val="continuous"/>
        </w:sectPr>
      </w:pPr>
    </w:p>
    <w:bookmarkStart w:id="59" w:name="page60"/>
    <w:bookmarkEnd w:id="59"/>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privacy and data security laws, rules, regulations, policies, industry standards, and contractual obligations, and our failure to comply with them could harm our business.</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maintain a large quantity of sensitive information, including confidential business information and information related to our employees and we expect to maintain personal information in connection with the conduct of our clinical trials. As such,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Compliance with these and any other applicable privacy and data security laws and regulations we may be subject to in the future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results of operations or prospects. Any failure by us or our third-party processors to comply with these data protection and privacy laws and regulations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of remediation, and adverse publicity, any of which could negatively affect our operating results and business. Furthermore, the laws are not consistent, and compliance in the event of a widespread data breach is costly. In addition, states are constantly adopting new laws or amending existing laws, requiring attention to frequently changing regulatory requirements.</w:t>
      </w:r>
    </w:p>
    <w:p>
      <w:pPr>
        <w:spacing w:after="0" w:line="2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prospects may be adversely affected.</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Any clinical trial programs we conduct or research collaborations we enter into in the European Economic Area may subject us to the General Data Protection Regulation.</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If we conduct clinical trial programs or enter into research collaborations in the European Economic Area, or EEA, we may be subject to the General Data Protection regulation, or GDPR. The GDPR applies extraterritorially and implements stringent operational requirements for processors and controllers of personal data, including, for example, high standards for obtaining consent from individuals to process their personal data, robust disclosures to individuals, a comprehensive individual data rights regime, data export restrictions governing transfers of data from the EEA/European Union, or EU, to other jurisdictions, short timelines for data breach notifications, limitations on retention of information, increased requirements pertaining to health data, other special categories of personal data and coded data and additional obligations if we contract third-party processors in connection with the processing of personal data. The United Kingdom has implemented its own version of the GDPR, which contains similar requirements. The GDPR provides that EU member states may establish their own laws and regulations limiting the processing of personal data, including genetic, biometric or health data, which could limit our ability to use and share personal data or could cause our costs to increase. If our or our partners’ or service providers’ privacy or data security measures fail to comply with the GDPR requirements, we may be subject to litigation, regulatory investigations, enforcement</w:t>
      </w:r>
    </w:p>
    <w:p>
      <w:pPr>
        <w:sectPr>
          <w:pgSz w:w="12240" w:h="15840" w:orient="portrait"/>
          <w:cols w:equalWidth="0" w:num="1">
            <w:col w:w="10080"/>
          </w:cols>
          <w:pgMar w:left="1080" w:top="1088" w:right="1080" w:bottom="156"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1088" w:right="1080" w:bottom="156" w:gutter="0" w:footer="0" w:header="0"/>
          <w:type w:val="continuous"/>
        </w:sectPr>
      </w:pPr>
    </w:p>
    <w:bookmarkStart w:id="60" w:name="page61"/>
    <w:bookmarkEnd w:id="60"/>
    <w:p>
      <w:pPr>
        <w:jc w:val="both"/>
        <w:spacing w:after="0" w:line="238" w:lineRule="auto"/>
        <w:rPr>
          <w:sz w:val="20"/>
          <w:szCs w:val="20"/>
          <w:color w:val="auto"/>
        </w:rPr>
      </w:pPr>
      <w:r>
        <w:rPr>
          <w:rFonts w:ascii="Times New Roman" w:cs="Times New Roman" w:eastAsia="Times New Roman" w:hAnsi="Times New Roman"/>
          <w:sz w:val="20"/>
          <w:szCs w:val="20"/>
          <w:color w:val="auto"/>
        </w:rPr>
        <w:t>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 candidates may be subject to government price controls that may affect our revenue.</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state level, legislatures have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current in-development products or our future product candidates to other available therapies. If reimbursement of our product candidates is unavailable or limited in scope or amount, or if pricing is set at unsatisfactory levels, our business could be harmed.</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harm our business.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2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may engage third parties to sell our current in-development products or our future product candidates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w:t>
      </w:r>
    </w:p>
    <w:p>
      <w:pPr>
        <w:sectPr>
          <w:pgSz w:w="12240" w:h="15840" w:orient="portrait"/>
          <w:cols w:equalWidth="0" w:num="1">
            <w:col w:w="10080"/>
          </w:cols>
          <w:pgMar w:left="1080" w:top="1088" w:right="1080" w:bottom="15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80"/>
          </w:cols>
          <w:pgMar w:left="1080" w:top="1088" w:right="1080" w:bottom="156" w:gutter="0" w:footer="0" w:header="0"/>
          <w:type w:val="continuous"/>
        </w:sectPr>
      </w:pPr>
    </w:p>
    <w:bookmarkStart w:id="61" w:name="page62"/>
    <w:bookmarkEnd w:id="61"/>
    <w:p>
      <w:pPr>
        <w:jc w:val="both"/>
        <w:spacing w:after="0" w:line="239" w:lineRule="auto"/>
        <w:rPr>
          <w:sz w:val="20"/>
          <w:szCs w:val="20"/>
          <w:color w:val="auto"/>
        </w:rPr>
      </w:pPr>
      <w:r>
        <w:rPr>
          <w:rFonts w:ascii="Times New Roman" w:cs="Times New Roman" w:eastAsia="Times New Roman" w:hAnsi="Times New Roman"/>
          <w:sz w:val="20"/>
          <w:szCs w:val="20"/>
          <w:color w:val="auto"/>
        </w:rPr>
        <w:t>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rely, and will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2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(GLP) regulations, as appropriate. Moreover, the FDA and comparable foreign regulatory authorities require us to comply with standards, commonly referred to as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For example, the data generated in our trials may not have been appropriately collected or documented, and thereby be deemed unreliable and the FDA or comparable foreign regulatory authorities may conclude the study findings are not adequate and require us to perform additional studies.</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one or more government-sponsored databases, e.g., ClinicalTrials.gov, within specified timeframes. Failure to do so can result in enforcement actions and adverse publicity.</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w:t>
      </w:r>
    </w:p>
    <w:p>
      <w:pPr>
        <w:sectPr>
          <w:pgSz w:w="12240" w:h="15840" w:orient="portrait"/>
          <w:cols w:equalWidth="0" w:num="1">
            <w:col w:w="10080"/>
          </w:cols>
          <w:pgMar w:left="1080" w:top="1088" w:right="1080" w:bottom="156"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80"/>
          </w:cols>
          <w:pgMar w:left="1080" w:top="1088" w:right="1080" w:bottom="156" w:gutter="0" w:footer="0" w:header="0"/>
          <w:type w:val="continuous"/>
        </w:sectPr>
      </w:pPr>
    </w:p>
    <w:bookmarkStart w:id="62" w:name="page63"/>
    <w:bookmarkEnd w:id="62"/>
    <w:p>
      <w:pPr>
        <w:jc w:val="both"/>
        <w:spacing w:after="0" w:line="239" w:lineRule="auto"/>
        <w:rPr>
          <w:sz w:val="20"/>
          <w:szCs w:val="20"/>
          <w:color w:val="auto"/>
        </w:rPr>
      </w:pPr>
      <w:r>
        <w:rPr>
          <w:rFonts w:ascii="Times New Roman" w:cs="Times New Roman" w:eastAsia="Times New Roman" w:hAnsi="Times New Roman"/>
          <w:sz w:val="20"/>
          <w:szCs w:val="20"/>
          <w:color w:val="auto"/>
        </w:rPr>
        <w:t>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will also rely on other third parties to store and distribute our product candidates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and may in the future enter into, certain collaboration agreements and strategic alliances to maximize the potential of our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 These transactions can entail numerous operational and financial risks, including exposure to unknown liabilities, disruption of our business and diversion of our management’s time and attention in order to manage a collaboration. We also cannot be certain that, following a strategic transaction or license, we will achieve the revenue or other anticipated benefits that led us to enter into the arrangement. Additionally,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establish future collaborations on commercially reasonable terms, we may have to alter our development and commercialization plans for one or more of our other development programs.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face significant competition in seeking appropriate additional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2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current and any future collaborations are not a guarantee of success, and all collaborations are as risky, or riskier, than undertaking the activities ourselves.</w:t>
      </w:r>
    </w:p>
    <w:p>
      <w:pPr>
        <w:spacing w:after="0" w:line="236" w:lineRule="exact"/>
        <w:rPr>
          <w:sz w:val="20"/>
          <w:szCs w:val="20"/>
          <w:color w:val="auto"/>
        </w:rPr>
      </w:pP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80"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088" w:right="1080" w:bottom="156" w:gutter="0" w:footer="0" w:header="0"/>
          <w:type w:val="continuous"/>
        </w:sectPr>
      </w:pPr>
    </w:p>
    <w:bookmarkStart w:id="63" w:name="page64"/>
    <w:bookmarkEnd w:id="63"/>
    <w:p>
      <w:pPr>
        <w:jc w:val="both"/>
        <w:ind w:left="360" w:hanging="360"/>
        <w:spacing w:after="0" w:line="238"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fail to make timely regulatory submissions for a product candidate;</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8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addition, all of the risks relating to product development, regulatory approval and commercialization described in this Annual Report also apply to the activities of any of our current or future collaborators.</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If any collaborations we have entered into or might enter into do not result in the successful development and commercialization of products or if one of our collaborators subsequently terminates its agreement with us, we may not receive any future research funding or milestone or royalty payments under such collaboration. If we do not receive the funding we expect under the agreements, our development of our product candidates could be delayed and we may need additional resources to develop our product candidates and our product platform.</w:t>
      </w:r>
    </w:p>
    <w:p>
      <w:pPr>
        <w:spacing w:after="0" w:line="2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Additionally, if any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080" w:top="1088" w:right="1080" w:bottom="156" w:gutter="0" w:footer="0" w:header="0"/>
          <w:type w:val="continuous"/>
        </w:sectPr>
      </w:pPr>
    </w:p>
    <w:bookmarkStart w:id="64" w:name="page65"/>
    <w:bookmarkEnd w:id="64"/>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Separately, the FDA and regulatory authorities outside the United States have and may adopt restrictions or other policy measures in response to the COVID-19 pandemic that divert resources and delay their attention to any submissions we may make.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 of Our Products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There is no assurance that we will be able to obtain FDA approval and, even if we do, there is no assurance that either we, or our collaboration partners, will be successful in commercializing any product candidate for which we receive regulatory approval, or experience significant delays in doing so, our business will be materially harmed.</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Even if we obtain FDA approval, there is no assurance that we, or our collaboration partners, will be successful in obtaining marketing approval from applicable regulatory authorities for ENV 105 or any other product candidate. Our ability to generate revenues from any such products will depend on our success in:</w:t>
      </w:r>
    </w:p>
    <w:p>
      <w:pPr>
        <w:spacing w:after="0" w:line="237" w:lineRule="exact"/>
        <w:rPr>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completing our Phase 1 and Phase 2 clinical trials and obtaining FDA approval for our product candidates;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such products, whether alone or in collaboration with others;</w:t>
      </w:r>
    </w:p>
    <w:p>
      <w:pPr>
        <w:spacing w:after="0" w:line="82"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receiving approved labels with claims that are necessary or desirable for successful marketing, and that do not contain safety or other limitations that would impede our ability to market such products;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market demand for such products through marketing, sales and promotion activities;</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training, and deploying a sales force or contracting with third parties to commercialize such products in the United States;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partnerships with, or offering licenses to, third parties to promote and sell such products in foreign markets where we receive marketing approval;</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such products in sufficient quantities and at acceptable quality and cost to meet commercial demand at launch and thereafter;</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maintaining agreements with wholesalers, distributors, and group purchasing organizations on commercially reasonable terms;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patent and trade secret protection and regulatory exclusivity for such products;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market acceptance of such products by patients, the medical community, and third-party payors;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coverage and adequate reimbursement from third-party payors for such products;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patients’ willingness to pay out-of-pocket in the absence of such coverage and adequate reimbursement from third-party payors;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competing effectively with other therapies;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profile of such products following launch.</w:t>
      </w:r>
    </w:p>
    <w:p>
      <w:pPr>
        <w:sectPr>
          <w:pgSz w:w="12240" w:h="15840" w:orient="portrait"/>
          <w:cols w:equalWidth="0" w:num="1">
            <w:col w:w="10080"/>
          </w:cols>
          <w:pgMar w:left="1080" w:top="1088" w:right="1080" w:bottom="156"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1088" w:right="1080" w:bottom="156" w:gutter="0" w:footer="0" w:header="0"/>
          <w:type w:val="continuous"/>
        </w:sectPr>
      </w:pPr>
    </w:p>
    <w:bookmarkStart w:id="65" w:name="page66"/>
    <w:bookmarkEnd w:id="65"/>
    <w:p>
      <w:pPr>
        <w:jc w:val="both"/>
        <w:spacing w:after="0" w:line="235" w:lineRule="auto"/>
        <w:rPr>
          <w:sz w:val="20"/>
          <w:szCs w:val="20"/>
          <w:color w:val="auto"/>
        </w:rPr>
      </w:pPr>
      <w:r>
        <w:rPr>
          <w:rFonts w:ascii="Times New Roman" w:cs="Times New Roman" w:eastAsia="Times New Roman" w:hAnsi="Times New Roman"/>
          <w:sz w:val="20"/>
          <w:szCs w:val="20"/>
          <w:color w:val="auto"/>
        </w:rPr>
        <w:t>To the extent we are not able to do any of the foregoing, our business, financial condition, results of operations, stock price and prospects will be materially harmed.</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development and commercialization of cancer resistance products and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While certain of our product candidates may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 market. In addition, our ability to compete may be affected in many cases by third-party payors’ coverage and reimbursement decisions.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2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currently do not have a commercial infrastructure for the marketing, sale, and distribution of any products that we may develop. If and when our product candidates receive marketing approval, we intend to commercialize our product candidates on our own or in collaboration with others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1088" w:right="1080" w:bottom="156" w:gutter="0" w:footer="0" w:header="0"/>
          <w:type w:val="continuous"/>
        </w:sectPr>
      </w:pPr>
    </w:p>
    <w:bookmarkStart w:id="66" w:name="page67"/>
    <w:bookmarkEnd w:id="66"/>
    <w:p>
      <w:pPr>
        <w:jc w:val="both"/>
        <w:spacing w:after="0" w:line="239" w:lineRule="auto"/>
        <w:rPr>
          <w:sz w:val="20"/>
          <w:szCs w:val="20"/>
          <w:color w:val="auto"/>
        </w:rPr>
      </w:pPr>
      <w:r>
        <w:rPr>
          <w:rFonts w:ascii="Times New Roman" w:cs="Times New Roman" w:eastAsia="Times New Roman" w:hAnsi="Times New Roman"/>
          <w:sz w:val="20"/>
          <w:szCs w:val="20"/>
          <w:color w:val="auto"/>
        </w:rPr>
        <w:t>We may also or alternatively decide to collaborate with third-party marketing and sales organizations to commercialize any approved product candidates,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2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event we are unable to develop a marketing and sales infrastructure, we may not be able to commercialize our product candidates,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233" w:lineRule="exact"/>
        <w:rPr>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recruit, train, manage, and retain adequate numbers of effective sales and marketing personnel;</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physicians or educate adequate numbers of physicians on the benefits of prescribing our product candidates;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effectively oversee a geographically dispersed sales and marketing team;</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associated with training personnel, including sales and marketing personnel, on compliance matters and monitoring their actions;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secure coverage and adequate reimbursement by third-party payors, including government and private health plans;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unwillingness of patients to pay out-of-pocket in the absence of coverage and adequate reimbursement from third-party payors;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products are approved and the claims that we may make for the products;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warnings, including distribution or use restrictions, contained in the products’ approved labeling;</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and use restrictions imposed by the FDA or comparable foreign regulatory authorities or to which we agree as part of a mandatory REMS or voluntary risk management plan;</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our personnel, including sales or marketing personnel, who fail to comply with applicable law;</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or engaging a contract sales organization.</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Even if any of our product candidates receive marketing approval, they may fail to achieve the degree of market acceptance by physicians, patients, hospitals, cancer treatment centers, third-party payors and others in the medical community necessary for commercial success. The revenues that we generate from their sales may be limited, and we may never become profitable.</w:t>
      </w:r>
    </w:p>
    <w:p>
      <w:pPr>
        <w:spacing w:after="0" w:line="2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88" w:right="1080" w:bottom="156" w:gutter="0" w:footer="0" w:header="0"/>
          <w:type w:val="continuous"/>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19"/>
          <w:szCs w:val="19"/>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221" w:lineRule="exact"/>
        <w:rPr>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of our product, including in combination with other cancer therapies;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 success of any cancer therapies with which our product may be co-administered;</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adverse events associated with our product or those products with which it is co-administered;</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our product is approved and the approved claims that we may make with respect to the product;</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warnings contained in the FDA-approved labeling of the product or the labeling approved by comparable foreign regulatory authorities, including potential limitations or warnings for our product that may be more restrictive than other competitive products;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standard of care for the targeted indications for our product, which could reduce the marketing impact of any claims that we could make following FDA approval or approval by comparable foreign regulatory authorities, if obtained;</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convenience and ease of administration of our product and any products with which it is co-administered;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compared with the economic and clinical benefit of alternative treatments or therapies;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coverage and adequate reimbursement by third-party payors, such as private insurance companies and government healthcare programs, including Medicare and Medicaid;</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have our product placed on approved formularies;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willingness to pay out-of-pocket in the absence of such coverage and adequate reimbursement from third-party payors;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concessions required by third-party payors to obtain coverage and adequate reimbursement;</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and strength of our marketing and distribution of our product;</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efficacy, and other potential advantages over, and availability of, alternative treatments already used or that may later be approved;</w:t>
      </w:r>
    </w:p>
    <w:p>
      <w:pPr>
        <w:spacing w:after="0" w:line="8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and use restrictions imposed by the FDA or comparable foreign regulatory authorities with respect to our product or to which we agree as part of a REMS or voluntary risk management plan;</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market introduction of our product, as well as competitive products;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offer our product for sale at competitive prices;</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and strength of our raw material supplier and service provider support;</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actions of companies that market any products with which our product is co-administered;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other new products;</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about our product or any products with which it is co-administered, or favorable publicity about competitive products; and</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product liability claims.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size of the potential market for our product candidates is difficult to estimate and, if any of our assumptions are inaccurate, the actual markets for our product candidates may be smaller than our estimates. If the market opportunities for any product candidates we develop are smaller than we believe they are, our potential revenues may be adversely affected, and our business may suffer.</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cancer resistance drugs is hard to estimate given that it is an emerging field. Our projections of both the number of people who have these diseases, as well as the subset of people with these diseases who have the potential to benefit from treatment with our product candidates, are based on estimates. Our estimates of the potential market opportunities are predicated on many assumptions, which may include industry knowledge and publications, third-party research reports, and other surveys. Although we believe that our internal assumptions are reasonable, these assumptions</w:t>
      </w:r>
    </w:p>
    <w:p>
      <w:pPr>
        <w:sectPr>
          <w:pgSz w:w="12240" w:h="15840" w:orient="portrait"/>
          <w:cols w:equalWidth="0" w:num="1">
            <w:col w:w="10080"/>
          </w:cols>
          <w:pgMar w:left="1080" w:top="1088" w:right="1080" w:bottom="156"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88" w:right="1080" w:bottom="156" w:gutter="0" w:footer="0" w:header="0"/>
          <w:type w:val="continuous"/>
        </w:sectPr>
      </w:pPr>
    </w:p>
    <w:bookmarkStart w:id="68" w:name="page69"/>
    <w:bookmarkEnd w:id="68"/>
    <w:p>
      <w:pPr>
        <w:jc w:val="both"/>
        <w:spacing w:after="0"/>
        <w:rPr>
          <w:sz w:val="20"/>
          <w:szCs w:val="20"/>
          <w:color w:val="auto"/>
        </w:rPr>
      </w:pPr>
      <w:r>
        <w:rPr>
          <w:rFonts w:ascii="Times New Roman" w:cs="Times New Roman" w:eastAsia="Times New Roman" w:hAnsi="Times New Roman"/>
          <w:sz w:val="20"/>
          <w:szCs w:val="20"/>
          <w:color w:val="auto"/>
        </w:rPr>
        <w:t>involve the exercise of significant judgment on the part of our management, are inherently uncertain, and their reasonableness has not been assessed by an independent source.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If any of the assumptions proves to be inaccurate, the actual markets for our product candidates could be smaller than our estimates of the potential market opportunities. Additionally, because of the potential that any product candidates we develop could cure a target disease, we may not receive recurring revenues from patients and may deplete the patient population prevalence through curative therapy.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federal and state healthcare laws, including fraud and abuse laws, we could face substantial penalties and our business, financial condition, results of operations, stock price and prospects will be materially harmed.</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current and future arrangements with healthcare providers, third-party payors, customers, and others may expose us to broadly applicable healthcare fraud and abuse, and other healthcare laws,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spacing w:after="0" w:line="246" w:lineRule="exact"/>
        <w:rPr>
          <w:sz w:val="20"/>
          <w:szCs w:val="20"/>
          <w:color w:val="auto"/>
        </w:rPr>
      </w:pPr>
    </w:p>
    <w:p>
      <w:pPr>
        <w:jc w:val="both"/>
        <w:ind w:left="360" w:hanging="360"/>
        <w:spacing w:after="0" w:line="239" w:lineRule="auto"/>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lease, order or recommendation of, any good, facility, item or service for which payment may be made, in whole or in part, under a federal healthcare program, such as the Medicare and Medicaid programs.</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including, without limitation, the civil FCA, and the federal Civil Monetary Penalties Law,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69" w:lineRule="exact"/>
        <w:rPr>
          <w:rFonts w:ascii="Times New Roman" w:cs="Times New Roman" w:eastAsia="Times New Roman" w:hAnsi="Times New Roman"/>
          <w:sz w:val="19"/>
          <w:szCs w:val="19"/>
          <w:color w:val="auto"/>
        </w:rPr>
      </w:pPr>
    </w:p>
    <w:p>
      <w:pPr>
        <w:ind w:left="360" w:hanging="360"/>
        <w:spacing w:after="0" w:line="235" w:lineRule="auto"/>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Federal Food, Drug and Cosmetic Act, which prohibits, among other things, the adulteration or misbranding of drugs, biological products and medical devices.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54" w:lineRule="auto"/>
        <w:tabs>
          <w:tab w:leader="none" w:pos="3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physician payment transparency requirements, sometimes referred to as the Physician Payments Sunshine Act, created under the ACA and its implementing regulations, which require certain manufacturers of drugs, devices, biological products and medical supplies for which payment is available under Medicare, Medicaid or the Children’s Health Insurance</w:t>
      </w:r>
    </w:p>
    <w:p>
      <w:pPr>
        <w:spacing w:after="0" w:line="2" w:lineRule="exact"/>
        <w:rPr>
          <w:rFonts w:ascii="Times New Roman" w:cs="Times New Roman" w:eastAsia="Times New Roman" w:hAnsi="Times New Roman"/>
          <w:sz w:val="19"/>
          <w:szCs w:val="19"/>
          <w:color w:val="auto"/>
        </w:rPr>
      </w:pPr>
    </w:p>
    <w:p>
      <w:pPr>
        <w:jc w:val="both"/>
        <w:ind w:left="360"/>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Program (with certain exceptions) to report annually to the Centers for Medicare &amp; Medicaid Services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84" w:lineRule="exact"/>
        <w:rPr>
          <w:rFonts w:ascii="Times New Roman" w:cs="Times New Roman" w:eastAsia="Times New Roman" w:hAnsi="Times New Roman"/>
          <w:sz w:val="19"/>
          <w:szCs w:val="19"/>
          <w:color w:val="auto"/>
        </w:rPr>
      </w:pPr>
    </w:p>
    <w:p>
      <w:pPr>
        <w:jc w:val="both"/>
        <w:ind w:left="360" w:hanging="360"/>
        <w:spacing w:after="0"/>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1088" w:right="1080" w:bottom="156" w:gutter="0" w:footer="0" w:header="0"/>
          <w:type w:val="continuous"/>
        </w:sectPr>
      </w:pPr>
    </w:p>
    <w:bookmarkStart w:id="69" w:name="page70"/>
    <w:bookmarkEnd w:id="69"/>
    <w:p>
      <w:pPr>
        <w:jc w:val="both"/>
        <w:spacing w:after="0" w:line="241" w:lineRule="auto"/>
        <w:rPr>
          <w:sz w:val="20"/>
          <w:szCs w:val="20"/>
          <w:color w:val="auto"/>
        </w:rPr>
      </w:pPr>
      <w:r>
        <w:rPr>
          <w:rFonts w:ascii="Times New Roman" w:cs="Times New Roman" w:eastAsia="Times New Roman" w:hAnsi="Times New Roman"/>
          <w:sz w:val="20"/>
          <w:szCs w:val="20"/>
          <w:color w:val="auto"/>
        </w:rPr>
        <w:t>If we or our operations are found to be in violation of any federal or state healthcare law, or any other governmental laws or regulations that apply to us, we may be subject to penalties, including significant civil, criminal, and administrative penalties, damages, monetary fines, disgorgement, imprisonment, suspension and debarment from government contracts, and refusal of orders under existing government contracts, exclusion from participation in U.S. federal or state health care programs, additional reporting requirements and/or oversight if we become subject to corporate integrity agreements or similar agreement to resolve allegations of non-compliance, contractual damages, reputational harm, diminished profits and future earnings,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significant criminal, civil or administrative sanctions, including but not limited to, exclusions from participation in U.S. federal or state healthcare programs, which could also materially affect our business.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Although an effective compliance program can mitigate the risk of investigation and prosecution for violations of these laws, the risks cannot be entirely eliminated. Moreover, achieving and sustaining compliance with such laws may prove costly. Any action against us for violation of these laws, even if we successfully defend against it, could cause us to incur significant legal expenses and divert our management’s attention from the operation of our business.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 both domestic and foreign markets, sales of our products will depend in part upon the availability of coverage and adequate reimbursement from third-party payors or placement on approved product formularies.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Third-party payors establish reimbursement levels. Therefore, even if coverage is provided, the approved reimbursement amount may not be high enough to allow us to establish or maintain a market share sufficient to realize a sufficient return on our or their investments. If reimbursement is not available, or is available only to limited levels, our product candidates may be competitively disadvantaged, and we may not be able to successfully commercialize our product candidates. Alternatively, securing favorable reimbursement terms may require us to compromise pricing and prevent us from realizing an adequate margin over cost. Our failure to obtain or maintain timely or adequate pricing or formulary placement of our products, or failure to obtain such formulary placement at favorable pricing may negatively impact our revenue.</w:t>
      </w:r>
    </w:p>
    <w:p>
      <w:pPr>
        <w:spacing w:after="0" w:line="2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third-party payors.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 significant trend within the healthcare industry is cost containment, both in the United States and elsewhere. Third-party payors, whether foreign or domestic, or governmental or commercial, are developing increasingly sophisticated methods of controlling healthcare costs, including use of formularies. Exclusion of a product from a formulary or other restrictions can significantly impact drug usage in the patient population and beyond. Consequently, pharmaceutical companies compete to gain access to formularies for their products, typically on the basis of unique product features, such as greater efficacy, better patient ease of use, or fewer side effects, as well as the overall cost of the therapy. Certain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 In addition, third-party payors are increasingly requiring higher levels of evidence of the benefits and clinical outcomes of new technologies, benchmarking against other therapies, seeking performance-based discounts, and challenging the prices charged. We cannot be sure that</w:t>
      </w:r>
    </w:p>
    <w:p>
      <w:pPr>
        <w:sectPr>
          <w:pgSz w:w="12240" w:h="15840" w:orient="portrait"/>
          <w:cols w:equalWidth="0" w:num="1">
            <w:col w:w="10080"/>
          </w:cols>
          <w:pgMar w:left="1080" w:top="1088" w:right="1080" w:bottom="156"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1088" w:right="1080" w:bottom="156" w:gutter="0" w:footer="0" w:header="0"/>
          <w:type w:val="continuous"/>
        </w:sectPr>
      </w:pPr>
    </w:p>
    <w:bookmarkStart w:id="70" w:name="page71"/>
    <w:bookmarkEnd w:id="70"/>
    <w:p>
      <w:pPr>
        <w:jc w:val="both"/>
        <w:spacing w:after="0"/>
        <w:rPr>
          <w:sz w:val="20"/>
          <w:szCs w:val="20"/>
          <w:color w:val="auto"/>
        </w:rPr>
      </w:pPr>
      <w:r>
        <w:rPr>
          <w:rFonts w:ascii="Times New Roman" w:cs="Times New Roman" w:eastAsia="Times New Roman" w:hAnsi="Times New Roman"/>
          <w:sz w:val="20"/>
          <w:szCs w:val="20"/>
          <w:color w:val="auto"/>
        </w:rPr>
        <w:t>coverage will be available for any product candidate that we commercialize and, if available, that the reimbursement rates will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stock price and prospects.</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2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An inability to promptly obtain coverage and adequate reimbursement from third-party payors for any of our product candidates for which we obtain marketing approval could have a material adverse effect on our operating results, our ability to raise capital needed to commercialize products and our overall financial condition.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2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For example, the ACA was passed in March 2010 and substantially changed the way healthcare is financed by both governmental and private insurers, and continues to significantly impact the United States pharmaceutical industry.</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There have been executive, judicial and congressional challenges to certain aspects of the ACA. For example, legislation enacted in 2017, informally titled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(the IRA) into law, which among other things, extends enhanced subsidies for individuals purchasing health insurance coverage in ACA</w:t>
      </w:r>
    </w:p>
    <w:p>
      <w:pPr>
        <w:sectPr>
          <w:pgSz w:w="12240" w:h="15840" w:orient="portrait"/>
          <w:cols w:equalWidth="0" w:num="1">
            <w:col w:w="10080"/>
          </w:cols>
          <w:pgMar w:left="1080" w:top="1088" w:right="1080" w:bottom="15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1088" w:right="1080" w:bottom="156" w:gutter="0" w:footer="0" w:header="0"/>
          <w:type w:val="continuous"/>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9"/>
          <w:szCs w:val="19"/>
          <w:color w:val="auto"/>
        </w:rPr>
        <w:t>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Other legislative changes have been proposed and adopted in the United States since the ACA. For example, through the process created by the Budget Control Act of 2011, there are automatic reductions of Medicare payments to providers up to 2% per fiscal year, which went into effect in April 2013 and, following passage of the Bipartisan Budget Act of 2018 (BBA) and the Infrastructure Investment and Jobs Act, will remain in effect until 2031 unless additional Congressional action is taken.</w:t>
      </w:r>
    </w:p>
    <w:p>
      <w:pPr>
        <w:spacing w:after="0" w:line="2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there have been a number of other legislative and regulatory proposals aimed at changing the biopharmaceutical industry. For instance, the Drug Quality and Security Act of 2013 imposes obligations on manufacturers of biopharmaceutical products related to product tracking and tracing. Further, manufacturers have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There has been heightened governmental scrutiny in the United States of pharmaceutical pricing practices in light of the rising cost of prescription drugs and biological products. Such scrutiny has resulted in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2032.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directs the Secretary of HHS to establish a Drug Price Negotiation Program (the Program) to lower prices for certain single-source prescription drugs and biologics covered under Medicare Parts B and D, based on criteria established under the IRA. Under the Program, the Secretary of HHS will publish a list of “selected drugs,” and will then negotiate maximum fair prices (MFP) with their manufacturers. Beginning in 2026, the first year of the Program, the number will be limited to 10 Part D drugs and biologics. By 2029, and in subsequent years thereafter, the number will increase to 20 drugs and biologics covered under Part D and Part B.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the potential of civil monetary penalties.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1088" w:right="1080" w:bottom="156" w:gutter="0" w:footer="0" w:header="0"/>
          <w:type w:val="continuous"/>
        </w:sectPr>
      </w:pPr>
    </w:p>
    <w:bookmarkStart w:id="72" w:name="page73"/>
    <w:bookmarkEnd w:id="72"/>
    <w:p>
      <w:pPr>
        <w:jc w:val="both"/>
        <w:spacing w:after="0" w:line="239"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Any new laws or regulations, including those that may result in additional reductions in Medicare and other healthcare funding, could have a material adverse effect on customers for our products, if approved, and, accordingly, on our results of operations.</w:t>
      </w:r>
    </w:p>
    <w:p>
      <w:pPr>
        <w:spacing w:after="0" w:line="2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and other consequences, which could adversely affect our business, financial condition, results of operations, stock price and prospects.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operations are subject to anti-corruption laws, including the U.S. Foreign Corrupt Practices Act (FCPA) and other anti-corruption laws that apply in countries where we do business. The FCPA and these other anti-corruption laws generally prohibit us and our employees and intermediaries from authorizing, promising, offering, providing, soliciting, or receiving, directly or indirectly, corrupt or improper payments or anything else of value to or from recipients in the public or private sector. We can be held liable for the corrupt or other illegal activities of our personnel or intermediaries, even if we do not explicitly authorize or have prior knowledge of such activities.</w:t>
      </w:r>
    </w:p>
    <w:p>
      <w:pPr>
        <w:spacing w:after="0" w:line="2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are also subject to other laws and regulations governing our international operations, including applicable import and export control regulations, economic sanctions on countries and persons, anti-money laundering laws, customs requirements and currency exchange regulations, collectively referred to as the trade control laws.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In addition, we cannot predict the nature, scope or effect of future regulatory requirements to which our international operations might be subject or the manner in which existing laws might be administered or interpreted. An investigation of any potential violations of anti-corruption laws or trade control laws by U.S. or other authorities could also have an adverse impact on our reputation, our business, financial condition, results of operations, stock price and prospects.</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the ordinary course of business, we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trial participants in connection with clinical trials, sensitive third-party data, and patient information.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may be subject to or affected by evolving federal, state and foreign data protection laws and regulations, such as laws and regulations that address privacy and data security. In the United States, federal, state, and local governments have enacted numerous data privacy and security laws, including data breach notification laws, personal data privacy laws, and consumer protection laws (e.g. Section 5 of the Federal Trade Commission Act). For example, HIPAA as amended by the Health Information Technology for Economic and Clinical Health Act (HITECH), imposes specific requirements relating to the</w:t>
      </w:r>
    </w:p>
    <w:p>
      <w:pPr>
        <w:sectPr>
          <w:pgSz w:w="12240" w:h="15840" w:orient="portrait"/>
          <w:cols w:equalWidth="0" w:num="1">
            <w:col w:w="10080"/>
          </w:cols>
          <w:pgMar w:left="1080" w:top="1088" w:right="1080" w:bottom="156"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080" w:top="1088" w:right="1080" w:bottom="156" w:gutter="0" w:footer="0" w:header="0"/>
          <w:type w:val="continuous"/>
        </w:sectPr>
      </w:pPr>
    </w:p>
    <w:bookmarkStart w:id="73" w:name="page74"/>
    <w:bookmarkEnd w:id="73"/>
    <w:p>
      <w:pPr>
        <w:jc w:val="both"/>
        <w:spacing w:after="0"/>
        <w:rPr>
          <w:sz w:val="20"/>
          <w:szCs w:val="20"/>
          <w:color w:val="auto"/>
        </w:rPr>
      </w:pPr>
      <w:r>
        <w:rPr>
          <w:rFonts w:ascii="Times New Roman" w:cs="Times New Roman" w:eastAsia="Times New Roman" w:hAnsi="Times New Roman"/>
          <w:sz w:val="20"/>
          <w:szCs w:val="20"/>
          <w:color w:val="auto"/>
        </w:rPr>
        <w:t>privacy, security, and transmission of individually identifiable health information. We may obtain health information or other personal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if it knowingly receives individually identifiable health information from a HIPAA-covered healthcare provider or research institution that has not satisfied HIPAA’s requirements for disclosure of individually identifiable health information under aiding-and-abetting or conspiracy principles.</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Certain states have also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The California Privacy Rights Act of 2020 (CPRA), effective January 1, 2023, further expanded the CCPA in California by adding additional consumer rights and obligations for businesses. In addition, the CPRA established the California Privacy Protection Agency, which is tasked with CRPA implementation and enforcement, among other responsibilities. Other states have enacted data privacy laws. For example, Virginia passed the Consumer Data Protection Act, and Colorado passed the Colorado Privacy Act, both of which became effective in 2023. In addition, data privacy and security laws have been proposed at the federal, state, and local levels in recent years, which could further complicate compliance efforts.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apply to data privacy and security. For example, the European Union’s General Data Protection Regulation (EU GDPR), the United Kingdom’s GDPR (UK GDPR), and the Swiss Federal Act on Data Protection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or consumer protection organizations authorized at law to represent their interests may initiate litigation related to processing of individuals’ personal data.</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Compliance with U.S. and foreign data protection laws and regulations could require us to take on more onerous obligations in our contracts, in addition to direct compliance obligations under those laws. We may be directly or contractually subject to data privacy and security obligations, including industry standards adopted by industry groups and may become subject to new data privacy and security obligations in the future. For example, certain privacy laws, such as the EU GDPR and the CCPA, require companies to impose specific contractual restrictions on their service providers. Moreover, clinical trial subjects about whom we or our potential collaborators obtain information, as well as the providers who share this information with us, may contractually limit our ability to use and disclose the information.</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Europe has significantly restricted the transfer of personal data to the United States and other countries whose privacy laws it believes are inadequate. Other jurisdictions may adopt similarly stringent interpretations of their data localization and cross-border data transfer laws.</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Although there are currently various mechanisms that may be used to transfer personal data from Europe to the United States in compliance with law, such as the EU and UK’s standard contractual clauses, these mechanisms are subject to legal challenges, and there is no assurance that we can satisfy or rely on these measures to lawfully transfer personal data to the United States.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there is no lawful manner for us to transfer personal data from Europe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which could limit our ability to conduct clinical trial activities in Europe or elsewhere, and injunctions against our processing or transferring of personal data necessary to operate our business. Some European regulators have prevented companies from transferring personal data out of Europe for allegedly violating the GDPR and EU’s cross-border data transfer limitations.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1088" w:right="1080" w:bottom="156" w:gutter="0" w:footer="0" w:header="0"/>
          <w:type w:val="continuous"/>
        </w:sectPr>
      </w:pPr>
    </w:p>
    <w:bookmarkStart w:id="74" w:name="page75"/>
    <w:bookmarkEnd w:id="74"/>
    <w:p>
      <w:pPr>
        <w:jc w:val="both"/>
        <w:spacing w:after="0" w:line="241" w:lineRule="auto"/>
        <w:rPr>
          <w:sz w:val="20"/>
          <w:szCs w:val="20"/>
          <w:color w:val="auto"/>
        </w:rPr>
      </w:pPr>
      <w:r>
        <w:rPr>
          <w:rFonts w:ascii="Times New Roman" w:cs="Times New Roman" w:eastAsia="Times New Roman" w:hAnsi="Times New Roman"/>
          <w:sz w:val="20"/>
          <w:szCs w:val="20"/>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We may also be bound by contractual obligations related to data privacy and security, and our efforts to comply with such obligations may not be successful. Additionally, 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our personnel or third parties upon whom we rely may fail to comply with such obligations. Such failures can subject us to potential international, local, state and federal action if they are found to be deceptive, unfair, or misrepresentative of our actual practices,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2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are subject to numerous federal, state and local environmental, health and safety laws and regulations, including those governing laboratory procedures, the handling, use, storage, treatment and disposal of hazardous materials and wastes and the cleanup of contaminated sites. Our operations involve the controlled production, storage, use and disposal of hazardous and flammable materials, including chemicals and biological materials such as infectious agents and various radioactive compounds.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as well as our curtailment of the use of these materials or even shutting down our facilities and operations.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While we maintain insurance covering our manufacturing facility only, and not our other facilities, for environmental liability or toxic tort claims that may be asserted against us in connection with our storage or disposal of biological or hazardous materials, such insurance coverage may not be sufficient to cover extraordinary or unanticipated events at our manufacturing facility.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or the perception in the public markets that these sales may occur, could cause the market price for our common stock to decline.</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80"/>
          </w:cols>
          <w:pgMar w:left="1080" w:top="1088" w:right="1080" w:bottom="156" w:gutter="0" w:footer="0" w:header="0"/>
          <w:type w:val="continuous"/>
        </w:sectPr>
      </w:pPr>
    </w:p>
    <w:bookmarkStart w:id="75" w:name="page76"/>
    <w:bookmarkEnd w:id="75"/>
    <w:p>
      <w:pPr>
        <w:jc w:val="both"/>
        <w:spacing w:after="0" w:line="239" w:lineRule="auto"/>
        <w:rPr>
          <w:sz w:val="20"/>
          <w:szCs w:val="20"/>
          <w:color w:val="auto"/>
        </w:rPr>
      </w:pPr>
      <w:r>
        <w:rPr>
          <w:rFonts w:ascii="Times New Roman" w:cs="Times New Roman" w:eastAsia="Times New Roman" w:hAnsi="Times New Roman"/>
          <w:sz w:val="20"/>
          <w:szCs w:val="20"/>
          <w:color w:val="auto"/>
        </w:rPr>
        <w:t>We have reserved 1,650,000 shares of common stock for issuance under our 2023 Equity Incentive Plan, and we have issued a total of 80,000 restricted stock and/or restricted stocks to our independent directors and consultants. 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w:t>
      </w:r>
    </w:p>
    <w:p>
      <w:pPr>
        <w:spacing w:after="0" w:line="2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Such shares are registered on Form S-8 and will be available for sale in the public market subject to vesting arrangements and exercise of options, the lock-up agreements described above and, in the case of our affiliates, the restrictions of Rule 144 under the Securities Act.</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Additionally, the holders of certain shares of our common stock, or their transferees, have rights, subject to certain conditions, to require us to file one or more registration statements covering their shares or to include their shares in registration statements that we may file for ourselves or other stockholders. If we were to register the resale of those shares, they could be freely sold in the public market without limitation. If these additional shares are sold, or if it is perceived that they will be sold, in the public market, the trading price of our common stock could decline.</w:t>
      </w:r>
    </w:p>
    <w:p>
      <w:pPr>
        <w:spacing w:after="0" w:line="2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Financings could adversely affect common stock ownership interest and rights in comparison with those of other security holders.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board of directors, in accordance with our Certificate of Incorporation and Bylaws, has the power to issue additional shares of common stock or preferred stock without stockholder approval.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board of directors may establish the rights, privileges, preferences and restrictions, including voting rights, of future series of stock and to issue such stock without approval from our shareholders. The rights of holders of common stock may suffer as a result of the rights granted to holders of preferred stock that may be issued in the future. In addition, we could issue preferred stock to prevent a change in control of our Company, depriving common shareholders of an opportunity to sell their stock at a price in excess of the prevailing market price.</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If we issue any additional common stock or securities convertible into common stock, such issuance will reduce the proportionate ownership and voting power of each other stockholder. In addition, such stock issuances might result in a reduction of the per share book value of our common stock and result in what is more commonly known as dilution. We may issue further shares as consideration for the cash or assets or services out of our authorized but unissued common stock that would, upon issuance, represent a majority of the voting power and equity of our Company. The result of such an issuance would be those new stockholders and management would control our Company, and persons unknown could replace our management at that time. Such an occurrence would result in a greatly reduced percentage of ownership of our Company by our current stockholders, which could present significant risks to stockholders. The Company may raise capital in the futures in “down rounds” at a lower per share price than the trading price for our stock, which would be dilutive to prior investors, and there can be no assurance that future rounds will not be necessary that would be dilutive to investors in the current round. Investors may experience dilution in any future financing conducted by 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maintain a listing of our common stock on NYSE American.</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must meet certain financial and liquidity criteria to maintain our listing on NYSE American. If we violate the listing requirements of such stock exchange, or if we fail to meet any of such exchange’s continued listing standards, our common stock may be delisted. In addition, our board of directors may determine that the cost of maintaining our listing on a national securities exchange outweighs the benefits of such listing. A delisting of our common stock from NYSE American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shares of common stock become subject to the penny stock rules, it would become more difficult to trade our shares.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w:t>
      </w:r>
    </w:p>
    <w:p>
      <w:pPr>
        <w:sectPr>
          <w:pgSz w:w="12240" w:h="15840" w:orient="portrait"/>
          <w:cols w:equalWidth="0" w:num="1">
            <w:col w:w="10080"/>
          </w:cols>
          <w:pgMar w:left="1080" w:top="1088" w:right="1080" w:bottom="156"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80"/>
          </w:cols>
          <w:pgMar w:left="1080" w:top="1088" w:right="1080" w:bottom="156" w:gutter="0" w:footer="0" w:header="0"/>
          <w:type w:val="continuous"/>
        </w:sectPr>
      </w:pPr>
    </w:p>
    <w:bookmarkStart w:id="76" w:name="page77"/>
    <w:bookmarkEnd w:id="76"/>
    <w:p>
      <w:pPr>
        <w:jc w:val="both"/>
        <w:spacing w:after="0"/>
        <w:rPr>
          <w:sz w:val="20"/>
          <w:szCs w:val="20"/>
          <w:color w:val="auto"/>
        </w:rPr>
      </w:pPr>
      <w:r>
        <w:rPr>
          <w:rFonts w:ascii="Times New Roman" w:cs="Times New Roman" w:eastAsia="Times New Roman" w:hAnsi="Times New Roman"/>
          <w:sz w:val="20"/>
          <w:szCs w:val="20"/>
          <w:color w:val="auto"/>
        </w:rPr>
        <w:t>information with respect to transactions in such securities is provided by the exchange or system. If we do not maintain a listing on NYSE American or another national securities exchange and if the price of our common stock is less than $5.00,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2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While we are not a controlled company, our chairman of the board of directors presently has control over key decision making as a result of his control of a majority of our voting stock and exercises significant voting power.</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John S. Yu, our Chairman, and CEO, has the right to exercise voting rights with respect to an aggregate of 5,341,837 shares of common stock, which represents approximately 36.00% of the voting power of our outstanding capital stock. As a result, Dr. Yu has the ability to substantially control the outcome of matters submitted to our stockholders for approval, including the election of directors and any merger, consolidation, or sale of all or substantially all of our assets. This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could also discourage a potential investor from acquiring our common stock due to the limited voting power of such stock relative to the shares of common stock and might harm the market price of our common stock. In addition, Dr. Yu has the ability to substantially control the management and major strategic investments of our Company as a result of his position as our CEO and his ability to control the election or replacement of our directors. In the event of his death, the shares of our capital stock that Dr. Yu owns will be transferred to the persons or entities that he designates. As a board member and officer, Dr. Yu owes a fiduciary duty to our stockholders and must act in good faith in a manner he reasonably believes to be in the best interests of our stockholders. As a stockholder, even a controlling stockholder, Dr. Yu is entitled to vote his shares in his own interests, which may not always be in the interests of our stockholders generally.</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Concentration of ownership of our common stock among our existing executive officers, directors, and principal stockholders may prevent new investors from influencing significant corporate decisions and matters submitted to stockholders for approval.</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of the date of this Annual Report, our executive officers, directors, and current beneficial owners of 5% or more of our capital stock and their respective affiliates hold, in the aggregate, beneficially own 37.2% of our outstanding common stock, based on 21,411,198 shares of our common stock outstanding as of March 31, 2026.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spacing w:after="0" w:line="236" w:lineRule="exact"/>
        <w:rPr>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delaying, deferring, or preventing a change in control;</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entrenching our management and/or the board of directors;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impeding a merger, consolidation, takeover, or other business combination involving us; or</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discouraging a potential acquirer from making a tender offer or otherwise attempting to obtain control of us.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some of these persons or entities may have interests different than yours. For example, because many of these stockholders purchased their shares at prices substantially below the price and have held their shares for a longer period, they may be more interested in selling our Company to an acquirer than other investors, or they may want us to pursue strategies that deviate from the interests of other stockholders.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w:t>
      </w:r>
    </w:p>
    <w:p>
      <w:pPr>
        <w:sectPr>
          <w:pgSz w:w="12240" w:h="15840" w:orient="portrait"/>
          <w:cols w:equalWidth="0" w:num="1">
            <w:col w:w="10080"/>
          </w:cols>
          <w:pgMar w:left="1080" w:top="1088" w:right="1080" w:bottom="156"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80"/>
          </w:cols>
          <w:pgMar w:left="1080" w:top="1088" w:right="1080" w:bottom="156" w:gutter="0" w:footer="0" w:header="0"/>
          <w:type w:val="continuous"/>
        </w:sectPr>
      </w:pPr>
    </w:p>
    <w:bookmarkStart w:id="77" w:name="page78"/>
    <w:bookmarkEnd w:id="77"/>
    <w:p>
      <w:pPr>
        <w:jc w:val="both"/>
        <w:spacing w:after="0" w:line="239" w:lineRule="auto"/>
        <w:rPr>
          <w:sz w:val="20"/>
          <w:szCs w:val="20"/>
          <w:color w:val="auto"/>
        </w:rPr>
      </w:pPr>
      <w:r>
        <w:rPr>
          <w:rFonts w:ascii="Times New Roman" w:cs="Times New Roman" w:eastAsia="Times New Roman" w:hAnsi="Times New Roman"/>
          <w:sz w:val="20"/>
          <w:szCs w:val="20"/>
          <w:color w:val="auto"/>
        </w:rPr>
        <w:t>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33" w:lineRule="exact"/>
        <w:rPr>
          <w:sz w:val="20"/>
          <w:szCs w:val="20"/>
          <w:color w:val="auto"/>
        </w:rPr>
      </w:pPr>
    </w:p>
    <w:p>
      <w:pPr>
        <w:ind w:left="360" w:hanging="360"/>
        <w:spacing w:after="0"/>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manner in which stockholders can remove directors from the board of directors;</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nominations to our board of directors;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approval of the holders of at least 66 2/3% of the votes that all our stockholders would be entitled to cast to amend or repeal certain provisions of our charter or bylaws.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unless we consent in writing to the selection of an alternative forum, and except for actions brought under the Securities Act or the Exchange Act, the Court of Chancery of the State of Delaware will be the exclusive forums for substantially all disputes between us and our stockholders. In addition, our exclusive forum provision may result in increased costs for investors to bring a claim.</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 and except for actions brought under the Securities Act or the Exchange Act, the Court of Chancery of the State of Delaware is the exclusive forum for:</w:t>
      </w:r>
    </w:p>
    <w:p>
      <w:pPr>
        <w:spacing w:after="0" w:line="234" w:lineRule="exact"/>
        <w:rPr>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breach of fiduciary duty;</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arising pursuant to any provision of the DGCL or our certificate of incorporation or bylaws;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proceeding to interpret, apply, enforce, or determine the validity of our certificate of incorporation, or our bylaws; and</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of our directors, officers, employees, or agents that is governed by the internal-affairs doctrine.</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financial condition, and prospects. In addition, our exclusive forum provision may result in increased costs for investors to bring a claim.</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80"/>
          </w:cols>
          <w:pgMar w:left="1080" w:top="1088" w:right="1080" w:bottom="156" w:gutter="0" w:footer="0" w:header="0"/>
          <w:type w:val="continuous"/>
        </w:sectPr>
      </w:pPr>
    </w:p>
    <w:bookmarkStart w:id="78" w:name="page79"/>
    <w:bookmarkEnd w:id="78"/>
    <w:p>
      <w:pPr>
        <w:jc w:val="both"/>
        <w:spacing w:after="0"/>
        <w:rPr>
          <w:sz w:val="20"/>
          <w:szCs w:val="20"/>
          <w:color w:val="auto"/>
        </w:rPr>
      </w:pPr>
      <w:r>
        <w:rPr>
          <w:rFonts w:ascii="Times New Roman" w:cs="Times New Roman" w:eastAsia="Times New Roman" w:hAnsi="Times New Roman"/>
          <w:sz w:val="20"/>
          <w:szCs w:val="20"/>
          <w:color w:val="auto"/>
        </w:rPr>
        <w:t>The choice of forum provision in our certificate of incorporation specifically excludes actions brought under the Securities Act or Exchange Act. Section 27 of the Exchange Act creates exclusive federal jurisdiction over all claims brought to enforce any duty or liability created by the Exchange Act or the rules and regulations thereunder. Consequently, this forum selection provision would not apply to suits brought to enforce a duty or liability created by the Exchange Act or any other claim for which the U.S. federal courts have exclusive jurisdiction. Moreover, Section 22 of the Securities Act creates concurrent jurisdiction for federal and state courts over all claims brought to enforce any duty or liability created by the Securities Act or the rules and regulations thereunder.</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will have broad discretion in the use of proceeds from selling of our securities and may invest or spend the proceeds in ways with which you do not agree and in ways that may not increase the value of your investment.</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management will have broad discretion in the application of our cash, including the net proceeds from selling our securities, and could spend the proceeds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current in-development products and planned pipeline and expansion programs as well as commercial preparedness. Pending their use, we may invest our cash, including the net proceeds from our IPO and following equity offerings, in a manner that does not produce value or that loses value.</w:t>
      </w:r>
    </w:p>
    <w:p>
      <w:pPr>
        <w:spacing w:after="0" w:line="2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do not anticipate paying any cash dividends on our capital stock in the foreseeable future, and accordingly, stockholders must rely on capital appreciation, if any, for any return on their investment.</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common stock may be volatile, and you could lose all or part of your investment.</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trading price of our common stock could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under this “Item1A Risk Factors” section and elsewhere in this Annul Report, these factors include:</w:t>
      </w:r>
    </w:p>
    <w:p>
      <w:pPr>
        <w:spacing w:after="0" w:line="240" w:lineRule="exact"/>
        <w:rPr>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enrollment, or results of our planned and future clinical trials;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of our key research, development, or management personnel;</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changes or developments in the United States and other countries or in the status of our regulatory approvals;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competitive products or technologies;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emergence of new competitors or new technologies;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market new and enhanced products on a timely basis;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actions taken by regulatory agencies with respect to our clinical trials or manufacturers;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developments in laws or regulations applicable to our current in-development products or any future product candidates;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080" w:top="1088" w:right="1080" w:bottom="156" w:gutter="0" w:footer="0" w:header="0"/>
          <w:type w:val="continuous"/>
        </w:sectPr>
      </w:pPr>
    </w:p>
    <w:bookmarkStart w:id="79" w:name="page80"/>
    <w:bookmarkEnd w:id="79"/>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relationships with collaborators, manufacturers, or suppliers;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testing and clinical trials;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to our operations or those of other sources critical to our operations;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safety, tolerability, or efficacy concerns;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acquisitions, new products, significant contracts, commercial relationships or capital commitments;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announcements concerning our competitors or the pharmaceutical industry in general;</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 or those of our competitors;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or recommendations by securities analysts;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acquisitions;</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efforts to discover, develop, acquire, or in-license additional product candidates;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our involvement in, litigation;</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dilutive issuances of our stock or the stock of our subsidiaries, or the incurrence of additional debt;</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board of directors or management;</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new or different accounting standards;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volume of our common stock on NYSE American;</w:t>
      </w:r>
    </w:p>
    <w:p>
      <w:pPr>
        <w:spacing w:after="0" w:line="80"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us, our executive officers and directors or our stockholders or the anticipation that such sales may occur in the future;</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political, and market conditions and overall fluctuations in the financial markets in the United States or the United Kingdom (including those relating to macroeconomic events, such as wars in the Middle East and between Russia and Ukraine);</w:t>
      </w:r>
    </w:p>
    <w:p>
      <w:pPr>
        <w:spacing w:after="0" w:line="81" w:lineRule="exact"/>
        <w:rPr>
          <w:rFonts w:ascii="Times New Roman" w:cs="Times New Roman" w:eastAsia="Times New Roman" w:hAnsi="Times New Roman"/>
          <w:sz w:val="20"/>
          <w:szCs w:val="20"/>
          <w:color w:val="auto"/>
        </w:rPr>
      </w:pPr>
    </w:p>
    <w:p>
      <w:pPr>
        <w:ind w:left="360" w:hanging="360"/>
        <w:spacing w:after="0" w:line="236"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market price and volume fluctuations of comparable companies and, in particular, those that operate in the biopharmaceutical industry;</w:t>
      </w:r>
    </w:p>
    <w:p>
      <w:pPr>
        <w:spacing w:after="0" w:line="7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slow or negative growth of related markets;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general perception of us and our business.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Some companies that have experienced volatility in the trading price of their shares have been the subject of securities class action litigation.</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Any lawsuit to which we are a party, regardless of merit, may result in an unfavorable judgment. We also may decide to settle lawsuits on unfavorable terms. Any such negative outcome could result in payments of substantial damages or fines, damage to our reputation or adverse changes to our business practices.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Any lawsuit to which we are a party, regardless of the merit of such lawsuit,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shares could decline</w:t>
      </w:r>
    </w:p>
    <w:p>
      <w:pPr>
        <w:sectPr>
          <w:pgSz w:w="12240" w:h="15840" w:orient="portrait"/>
          <w:cols w:equalWidth="0" w:num="1">
            <w:col w:w="10080"/>
          </w:cols>
          <w:pgMar w:left="1080" w:top="1078" w:right="1080" w:bottom="156"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1078" w:right="1080" w:bottom="156" w:gutter="0" w:footer="0" w:header="0"/>
          <w:type w:val="continuous"/>
        </w:sectPr>
      </w:pPr>
    </w:p>
    <w:bookmarkStart w:id="80" w:name="page81"/>
    <w:bookmarkEnd w:id="80"/>
    <w:p>
      <w:pPr>
        <w:jc w:val="both"/>
        <w:spacing w:after="0" w:line="238" w:lineRule="auto"/>
        <w:rPr>
          <w:sz w:val="20"/>
          <w:szCs w:val="20"/>
          <w:color w:val="auto"/>
        </w:rPr>
      </w:pPr>
      <w:r>
        <w:rPr>
          <w:rFonts w:ascii="Times New Roman" w:cs="Times New Roman" w:eastAsia="Times New Roman" w:hAnsi="Times New Roman"/>
          <w:sz w:val="20"/>
          <w:szCs w:val="20"/>
          <w:color w:val="auto"/>
        </w:rPr>
        <w:t>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incur significantly costs as a result of operating as a company whose common stock is publicly traded in the United States, and our management are required to devote substantial time to new compliance initiatives.</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a public company in the United States, we incur significant legal, accounting, and other expenses. These expenses will likely be even more significant after we no longer qualify as an emerging growth company. The Sarbanes-Oxley Act, the Dodd-Frank Wall Street Reform and Consumer Protection Act, the listing requirements of NYSE American,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 We cannot predict or estimate the amount of additional costs we may incur or the timing of such costs.</w:t>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Pursuant to Section 404, public companies are required to furnish a report by our senior management on our internal control over financial reporting. However, as we are presently an emerging growth company, so long as we remain in the status, or up to five years, we will not be required to include an attestation report on internal control over financial reporting issued by our independent registered public accounting firm. At such time as we will be required to prepare for eventual compliance with Section 404, we will be required to engage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restricted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1080" w:top="1088" w:right="1080" w:bottom="156" w:gutter="0" w:footer="0" w:header="0"/>
          <w:type w:val="continuous"/>
        </w:sectPr>
      </w:pPr>
    </w:p>
    <w:bookmarkStart w:id="81" w:name="page82"/>
    <w:bookmarkEnd w:id="81"/>
    <w:p>
      <w:pPr>
        <w:jc w:val="both"/>
        <w:spacing w:after="0" w:line="241" w:lineRule="auto"/>
        <w:rPr>
          <w:sz w:val="20"/>
          <w:szCs w:val="20"/>
          <w:color w:val="auto"/>
        </w:rPr>
      </w:pPr>
      <w:r>
        <w:rPr>
          <w:rFonts w:ascii="Times New Roman" w:cs="Times New Roman" w:eastAsia="Times New Roman" w:hAnsi="Times New Roman"/>
          <w:sz w:val="20"/>
          <w:szCs w:val="20"/>
          <w:color w:val="auto"/>
        </w:rPr>
        <w:t>Significant disruptions of our or our third-party vendors’ or business partners’ information technology systems or other similar data security incidents could adversely affect our business operations and result in the loss, misappropriation, and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data protection efforts and our investment in information technology, or the efforts or investments of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While we have implemented security measures intended to protect our information technology systems and infrastructure, there can be no assurance that such measures will successfully prevent service interruptions or security incidents. 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personal information regarding our patients or employees, could disrupt our business, harm our reputation, compel us to comply with applicable federal and state breach notification laws and foreign law equivalents, subject us to time-consuming,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data security incidents and other inappropriate access can be difficult to detect, and any delay in identifying them may lead to increased harm of the type described above. Any of the foregoing could have a material adverse effect on our reputation, business, operations, or financial condition.</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this Annual Report. In particular, in this Annual Report, we have provided only two years of audited financial statements and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080" w:top="1088" w:right="1080" w:bottom="156" w:gutter="0" w:footer="0" w:header="0"/>
          <w:type w:val="continuous"/>
        </w:sectPr>
      </w:pPr>
    </w:p>
    <w:bookmarkStart w:id="82" w:name="page83"/>
    <w:bookmarkEnd w:id="82"/>
    <w:p>
      <w:pPr>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are also classified as a “smaller reporting company” and are exempt from certain disclosure requirements, which could make our stock less attractive to potential investors.</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Rule 12b-2 of the Exchange Act defines a “smaller reporting company” as an issuer that is not an investment company, an asset-backed issuer, or a majority-owned subsidiary of a parent that is not a smaller reporting company and that:</w:t>
      </w:r>
    </w:p>
    <w:p>
      <w:pPr>
        <w:spacing w:after="0" w:line="246" w:lineRule="exact"/>
        <w:rPr>
          <w:sz w:val="20"/>
          <w:szCs w:val="20"/>
          <w:color w:val="auto"/>
        </w:rPr>
      </w:pPr>
    </w:p>
    <w:p>
      <w:pPr>
        <w:jc w:val="both"/>
        <w:ind w:left="360" w:hanging="360"/>
        <w:spacing w:after="0" w:line="238"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a public float of less than $250 million as of the last business day of its most recently completed fiscal quarter, computed by multiplying the aggregate number of worldwide number of shares of its voting and non-voting common equity held by non-affiliates by the price at which the common equity was last sold, or the average of the bid and asked prices of common equity, in the principal market for the common equity; or</w:t>
      </w:r>
    </w:p>
    <w:p>
      <w:pPr>
        <w:spacing w:after="0" w:line="84"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initial registration statement under the Securities Act or the Exchange Act for shares of its common equity, had a public float of less than $250 million as of a date within 30 days of the date of the filing of the registration statement, computed by multiplying the aggregate worldwide number of such shares held by non-affiliates before the registration plus, in the case of a Securities Act registration statement, the number of such shares included in the registration statement by the estimated offering price of the shares; or</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issuer who had annual revenue of less than $100 million during the most recently completed fiscal year for which audit financial statements are available, had a public float as calculated under paragraph (1) or (2) of this definition that was either zero or less than $700 million.</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a “smaller reporting company” we are not required and may not include a Compensation Discussion and Analysis section in our proxy statements; we provide only three years of business development information; provide fewer years of selected data; and have other “scaled” disclosure requirements that are less comprehensive than issuers that are not “smaller reporting companies” which could make our stock less attractive to potential investors, which could make it more difficult for you to sell your shares.</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As a “smaller reporting company,” we may at some time in the future choose to exempt our Company from certain corporate governance requirements that could have an adverse effect on our public shareholders.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Under NYSE American rules, a “smaller reporting company,” as defined in Rule 12b-2 under the Exchange Act, is not subject to certain corporate governance requirements otherwise applicable to companies listed on NYSE American. For example, a smaller reporting company is exempt from the requirement of having a compensation committee composed solely of directors meeting certain enhanced independence standards, as long as the compensation committee has at least two members who do meet such standards. Although we have determined not to avail ourselves of this or other exemptions from NYSE American requirements that are or may be afforded to smaller reporting companies while we will seek to maintain our shares on NYSE American, in the future we may elect to rely on any or all of these exemptions. By electing to utilize any such exemptions, our Company may be subject to greater risks of poor corporate governance, poorer management decision-making processes, and reduced results of operations from problems in our corporate organization. Consequently, if we were to avail ourselves of these exemptions, our stock price might suffer, and there is no assurance that we would be able to continue to meet all continued listing requirements of NYSE American from which we would not be exempt, including minimum stock price requirements.</w:t>
      </w:r>
    </w:p>
    <w:p>
      <w:pPr>
        <w:spacing w:after="0" w:line="2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Changes in funding for or disruption at the FDA, the SEC and other government agencies, including from government shut downs, or other disruptions to these agencies’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Federal agencies in the United States, including the FDA and the SEC, operate pursuant to annual appropriations and other political and budgetary processes, and may from time to time be subject to continuing resolutions, funding lapses, or other fiscal constraints. Without appropriation of sufficient funding to federal agencies, our business operations related to our product development activities for the U.S. market could be impacted.</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and may continue to fluctuate as a results of these factor as a result. In addition, government funding of the SEC and other government agencies on which our operations may rely, including those that fund research and development activities, is subject to the political process, which is inherently fluid and unpredictable. For example, the Trump administration has issued executive orders seeking to greatly</w:t>
      </w:r>
    </w:p>
    <w:p>
      <w:pPr>
        <w:sectPr>
          <w:pgSz w:w="12240" w:h="15840" w:orient="portrait"/>
          <w:cols w:equalWidth="0" w:num="1">
            <w:col w:w="10080"/>
          </w:cols>
          <w:pgMar w:left="1080" w:top="1088" w:right="1080" w:bottom="156"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80"/>
          </w:cols>
          <w:pgMar w:left="1080" w:top="1088" w:right="1080" w:bottom="156" w:gutter="0" w:footer="0" w:header="0"/>
          <w:type w:val="continuous"/>
        </w:sectPr>
      </w:pPr>
    </w:p>
    <w:bookmarkStart w:id="83" w:name="page84"/>
    <w:bookmarkEnd w:id="83"/>
    <w:p>
      <w:pPr>
        <w:jc w:val="both"/>
        <w:spacing w:after="0" w:line="238" w:lineRule="auto"/>
        <w:rPr>
          <w:sz w:val="20"/>
          <w:szCs w:val="20"/>
          <w:color w:val="auto"/>
        </w:rPr>
      </w:pPr>
      <w:r>
        <w:rPr>
          <w:rFonts w:ascii="Times New Roman" w:cs="Times New Roman" w:eastAsia="Times New Roman" w:hAnsi="Times New Roman"/>
          <w:sz w:val="20"/>
          <w:szCs w:val="20"/>
          <w:color w:val="auto"/>
        </w:rPr>
        <w:t>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most recently in October 1, 2025 through November 12, 2025, and certain regulatory agencies, such as the FDA and the SEC, have had to furlough critical employees and stop critical activities. If a prolonged government shutdown occurs again, or if global health concerns or shortages in resources prevent the FDA or other regulatory authorities from conducting their regulatory inspections, reviews or other regulatory activities, including formal or informal interactions with product developers,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or delay the review or effectiveness of required regulatory or securities filings.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U.S. Congress, the Trump administration, or any new administration may make substantial changes to fiscal, tax, and other federal policies that may adversely affect our business.</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With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and potential future changes to U.S. and non-U.S. tax laws could materially adversely affect our Company.</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Existing, new, or future changes in tax laws, regulations, and treaties, or the interpretation thereof, in addition to tax policy initiatives and reforms under consideration in the United States or internationally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Recently enacted U.S. tax legislation has significantly changed the U.S. federal income taxation of U.S. corporations, including by reducing the U.S. corporate income tax rate, limiting interest deductions,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2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reduction of the corporate tax rate under the legislation may cause a reduction in the economic benefit of deferred tax assets available to us.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of December 31, 2025, we had federal and state net operating loss, or NOLs, carryforwards of approximately $9.9 million. Under the Tax Cuts and Jobs Act of 2017, or the Tax Act, as modified by the Coronavirus Aid, Relief, and Economic Security Act, or the CARES Act, our NOLs generated in tax years beginning after December 31, 2020 may be carried forward indefinitely, but the deductibility of such federal NOLs in tax years beginning after December 31, 2020, is limited to 80% of taxable income. This change may require us to pay federal income taxes in future years despite generating a loss for federal income tax purposes in prior years. It is uncertain if and to what extent various states will conform to the Tax Act or the CARES Act.</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addition, under Sections 382 and 383 of the U.S.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NOLs and other pre-</w:t>
      </w:r>
    </w:p>
    <w:p>
      <w:pPr>
        <w:sectPr>
          <w:pgSz w:w="12240" w:h="15840" w:orient="portrait"/>
          <w:cols w:equalWidth="0" w:num="1">
            <w:col w:w="10080"/>
          </w:cols>
          <w:pgMar w:left="1080" w:top="1088" w:right="1080" w:bottom="156"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80"/>
          </w:cols>
          <w:pgMar w:left="1080" w:top="1088" w:right="1080" w:bottom="156" w:gutter="0" w:footer="0" w:header="0"/>
          <w:type w:val="continuous"/>
        </w:sectPr>
      </w:pPr>
    </w:p>
    <w:bookmarkStart w:id="84" w:name="page85"/>
    <w:bookmarkEnd w:id="84"/>
    <w:p>
      <w:pPr>
        <w:jc w:val="both"/>
        <w:spacing w:after="0" w:line="239" w:lineRule="auto"/>
        <w:rPr>
          <w:sz w:val="20"/>
          <w:szCs w:val="20"/>
          <w:color w:val="auto"/>
        </w:rPr>
      </w:pPr>
      <w:r>
        <w:rPr>
          <w:rFonts w:ascii="Times New Roman" w:cs="Times New Roman" w:eastAsia="Times New Roman" w:hAnsi="Times New Roman"/>
          <w:sz w:val="20"/>
          <w:szCs w:val="20"/>
          <w:color w:val="auto"/>
        </w:rPr>
        <w:t>change tax attributes (such as research and development tax credits) to offset its post-change income or taxes may be limited. We may have experienced ownership changes in the past and may experience ownership changes in the future as a result of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unable to predict what tax reform may be proposed or enacted in the future or what effect such changes would have on our business, but such changes, to the extent they are brought into tax legislation, regulations, policies or practices, could affect our effective tax rates in the future in countries where we have operations and have an adverse effect on our overall tax rate in the future, along with increasing the complexity, burden, and cost of tax compliance. While some of the changes made by the tax legislation may adversely affect us in one or more reporting periods and prospectively, other changes may be beneficial on a going-forward basis. We intend to work with our tax advisors and auditors to determine the full impact that the recent tax legislation as a whole will have on us.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urge our stockholders to consult with their legal and tax advisors with respect to any such legislative changes and the potential tax consequences of investing in or holding our common stock.</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Changes in accounting standards and subjective assumptions, estimates and judgments by management related to complex accounting matters may materially impact reporting of our financial condition and results of operations.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spacing w:after="0" w:line="2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A potential failure to maintain effective internal control over financial reporting in accordance with Section 404 of the Sarbanes-Oxley Act could have a material adverse effect on our business, financial condition, and results of operations.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will be required, pursuant to Section 404 of the Sarbanes-Oxley Act, to furnish a report by management on, among other things, regarding the effectiveness of our internal control over financial reporting starting with the second annual report filed by the Company after completion of our IPO and in each year thereafter. Our auditors, however, will not be required to attest to the effectiveness of our internal control over financial reporting until we are no longer deemed an Emerging Growth Company, which will not be until after we have been a public reporting company for five fiscal years or until we have annual gross revenues of more than $1.235 billion, whichever occurs sooner. If we are unable to assert that our internal control over financial reporting is effective, or when required in the future,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spacing w:after="0" w:line="2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lack of public company experience of our management team could adversely impact our ability to comply with the reporting requirements of U.S. securities laws, which could have a materially adverse effect on our business.</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officers have limited public company experience, which could impair our ability to comply with legal and regulatory requirements such as those imposed by Sarbanes-Oxley Act. Such responsibilities include complying with federal securities</w:t>
      </w:r>
    </w:p>
    <w:p>
      <w:pPr>
        <w:sectPr>
          <w:pgSz w:w="12240" w:h="15840" w:orient="portrait"/>
          <w:cols w:equalWidth="0" w:num="1">
            <w:col w:w="10080"/>
          </w:cols>
          <w:pgMar w:left="1080" w:top="1088" w:right="1080" w:bottom="156"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80"/>
          </w:cols>
          <w:pgMar w:left="1080" w:top="1088" w:right="1080" w:bottom="156" w:gutter="0" w:footer="0" w:header="0"/>
          <w:type w:val="continuous"/>
        </w:sectPr>
      </w:pPr>
    </w:p>
    <w:bookmarkStart w:id="85" w:name="page86"/>
    <w:bookmarkEnd w:id="85"/>
    <w:p>
      <w:pPr>
        <w:jc w:val="both"/>
        <w:spacing w:after="0" w:line="239" w:lineRule="auto"/>
        <w:rPr>
          <w:sz w:val="20"/>
          <w:szCs w:val="20"/>
          <w:color w:val="auto"/>
        </w:rPr>
      </w:pPr>
      <w:r>
        <w:rPr>
          <w:rFonts w:ascii="Times New Roman" w:cs="Times New Roman" w:eastAsia="Times New Roman" w:hAnsi="Times New Roman"/>
          <w:sz w:val="20"/>
          <w:szCs w:val="20"/>
          <w:color w:val="auto"/>
        </w:rPr>
        <w:t>laws and making required disclosures on a timely basis. Any such deficiencies, weaknesses or lack of compliance could have a materially adverse effect on our ability to comply with the reporting requirements of the Exchange Act, which is necessary to maintain our public company status. If we were to fail to fulfill those obligations, our ability to continue as a U.S. public company would be in jeopardy in which event you could lose your entire investment in our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securities class action litigation.</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past, when the market price of a stock has been volatile, holders of that stock sometimes have instituted securities class action litigation against the company that issued the stock following a decline in the market price of their securities. This risk is especially relevant for us because biotechnology companies have experienced significant share price volatility in recent years. Securities litigation against us, regardless of the merits or outcome, could result in substantial costs and divert the time and attention of our management from our business, which could have a material adverse effect on our business, financial condition, and results of operations.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directors’ liability to us and stockholders is limited; claims for indemnification by our directors and officers may reduce our available funds to satisfy successful third-party claims against us and may reduce the amount of money available to us.</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certificate of incorporation and bylaws provide that we will indemnify our directors and officers, in each case, to the fullest extent permitted by Delaware law. Pursuant to our bylaws and the DGCL, our directors will not be liable to the Company or any stockholders for damages for any breach of fiduciary duty, except (i) acts that breach his or her duty of loyalty to the Company or its stockholders; (ii) acts or omissions without good faith or involving intentional misconduct or knowing violation of the law; (iii) pursuant to Section 174 of the DGCL regarding director liability for unlawful payment of a dividend or unlawful stock purchase or redemption; or (iv) for any transaction from which the director derived an improper personal benefit. Accordingly, we will have a much more limited right of action against our directors that otherwise would be the case. This provision does not affect the liability of any director under federal or applicable state securities laws. 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The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potentially expose us to substantial liability for intellectual property infringement, data protection, and other losses.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and financial condition.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capital markets may experience periods of disruption, instability and economic uncertainty. Such market conditions may materially and adversely affect the debt and equity capital markets, which may have a negative impact on our business and operations.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From time to time, capital markets may experience periods of disruption, instability and economic uncertainty. Such periods may result in, among other things, write-offs, the re-pricing of credit risk, the failure of financial institutions or worsening general economic conditions, any of which could materially and adversely impact the broader financial and credit markets and reduce the availability of debt and equity capital for the market as a whole and, as a result, negatively affect our ability to access capital. Global financial markets have experienced heightened volatility in recent years. In addition, social and political tensions in the U.S. and around the world may contribute to increased market volatility, may have long-term effects on the U.S. and worldwide financial markets, and may cause economic uncertainties or deterioration in the U.S. and worldwide. There can be no assurance these market conditions will not occur or worsen in the future, including economic and political events in or affecting the world’s major economies, such as the ongoing war between Russia and Ukraine and continued conflicts and political unrest in the Middle East and South America. Sanctions imposed by the U.S. and other countries in connection with hostilities between Russia and Ukraine, the war in Iran, conflicts in the Middle East, and the tensions between China and</w:t>
      </w:r>
    </w:p>
    <w:p>
      <w:pPr>
        <w:sectPr>
          <w:pgSz w:w="12240" w:h="15840" w:orient="portrait"/>
          <w:cols w:equalWidth="0" w:num="1">
            <w:col w:w="10080"/>
          </w:cols>
          <w:pgMar w:left="1080" w:top="1088" w:right="1080" w:bottom="156"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1088" w:right="1080" w:bottom="156" w:gutter="0" w:footer="0" w:header="0"/>
          <w:type w:val="continuous"/>
        </w:sectPr>
      </w:pPr>
    </w:p>
    <w:bookmarkStart w:id="86" w:name="page87"/>
    <w:bookmarkEnd w:id="86"/>
    <w:p>
      <w:pPr>
        <w:jc w:val="both"/>
        <w:spacing w:after="0" w:line="255" w:lineRule="auto"/>
        <w:rPr>
          <w:sz w:val="20"/>
          <w:szCs w:val="20"/>
          <w:color w:val="auto"/>
        </w:rPr>
      </w:pPr>
      <w:r>
        <w:rPr>
          <w:rFonts w:ascii="Times New Roman" w:cs="Times New Roman" w:eastAsia="Times New Roman" w:hAnsi="Times New Roman"/>
          <w:sz w:val="19"/>
          <w:szCs w:val="19"/>
          <w:color w:val="auto"/>
        </w:rPr>
        <w:t>Taiwan have caused additional financial market volatility and affected the global economy. Concerns over future inflation volatility, economic recession, as well as interest rate volatility and fluctuations in oil and gas prices resulting from global production and demand levels, as well as geopolitical tension, have exacerbated market volatility. In addition, social unrest, changes regarding immigration and work permit policies and other political and security concerns may not abate, which may cause the debt and equity capital markets and our business to be adversely affected both within and outside of regions experiencing ongoing conflicts. Market uncertainty and volatility have also been magnified as a result of uncertainties regarding actual and potential shifts in U.S. and foreign trade, economic and other policies, including with respect to treaties and tariffs.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Further, volatility in the capital markets may make it difficult to raise equity capital or obtain debt financing, the results of which could cause a material adverse effect on our business, financial condition and/or results of operations. If we are unable to raise additional capital, we will not be able to fund our ongoing clinical trials and further develop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risk assessments at least annually to identify cybersecurity threats. These risk assessments include identifying reasonably foreseeable potential internal and external risks, the likelihood of occurrence and any potential damage that could result from such risks, and the sufficiency of existing policies, procedures, systems, controls and other safeguards we have put in place to manage such risks. Our risk management process also encompasses cybersecurity risks associated with the use of our major third-party vendors and service providers. 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 including the risk factors entitled </w:t>
      </w:r>
      <w:r>
        <w:rPr>
          <w:rFonts w:ascii="Times New Roman" w:cs="Times New Roman" w:eastAsia="Times New Roman" w:hAnsi="Times New Roman"/>
          <w:sz w:val="20"/>
          <w:szCs w:val="20"/>
          <w:i w:val="1"/>
          <w:iCs w:val="1"/>
          <w:color w:val="auto"/>
        </w:rPr>
        <w:t>“Our internal computer systems, or those of our CROs or other contractors or consultants,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may fail or suffer security breaches, which could result in a material disruption of our product development programs,” and “Our proprietary information, or that of our customers, suppliers and business partners, may be lost or we may suffer security breaches.”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One of the key functions of our Board of Directors is informed oversight of our risk management process, including risks arising from cybersecurity threats. Our Board of Directors is responsible for monitoring and assessing strategic risk exposure, and our executive officers are responsible for the day-to-day management of the material risks we face. Our Chief Financial Officer is primarily responsible for assessing and managing material risks from cybersecurity threats on a day to day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corporate address is 2355 Westwood Blvd. #139, Los Angeles, CA, 90064. This is the address of our registered agent. We currently do not lease any properties, but if required, we believe that suitable additional or alternative space would be available in the future on commercially reasonable terms. As of the date of this Annual Report, all of our operations are conducted virtually.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From time to time, we may become involved in material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 We are not presently party to any legal proceedings material to our operations or of which any of our property is the subject, nor are we aware of any such proceedings that are contemplated by a government authority.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80"/>
          </w:cols>
          <w:pgMar w:left="1080" w:top="1088" w:right="1080" w:bottom="156"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NYSE American LLC, or NYSE American, under the symbol “KAPA.”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of March 31, 2026, we had 48 holders of record of our common stock and 21,411,198 shares of common stock issued and outstanding. This number of holders of record does not represent the actual number of beneficial owners of our common shares because shares are frequently held in “street name” by securities dealers and others for the benefit of individual owners who have the right to vote their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following table provides information about the Company’s common stock that may be issued under the Company’s 2023 Equity Incentive Plan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60" w:type="dxa"/>
            <w:vAlign w:val="bottom"/>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of</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   be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08"/>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upon</w:t>
            </w:r>
          </w:p>
        </w:tc>
        <w:tc>
          <w:tcPr>
            <w:tcW w:w="30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exercise or vesting</w:t>
            </w:r>
          </w:p>
        </w:tc>
        <w:tc>
          <w:tcPr>
            <w:tcW w:w="30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exercised price of</w:t>
            </w: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and</w:t>
            </w: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60" w:type="dxa"/>
            <w:vAlign w:val="bottom"/>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3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reflected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first</w:t>
            </w:r>
          </w:p>
        </w:tc>
      </w:tr>
      <w:tr>
        <w:trPr>
          <w:trHeight w:val="21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 w:type="dxa"/>
            <w:vAlign w:val="bottom"/>
          </w:tcPr>
          <w:p>
            <w:pPr>
              <w:spacing w:after="0"/>
              <w:rPr>
                <w:sz w:val="18"/>
                <w:szCs w:val="18"/>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stock units</w:t>
            </w: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column)</w:t>
            </w:r>
          </w:p>
        </w:tc>
        <w:tc>
          <w:tcPr>
            <w:tcW w:w="660" w:type="dxa"/>
            <w:vAlign w:val="bottom"/>
            <w:tcBorders>
              <w:bottom w:val="single" w:sz="8" w:color="auto"/>
            </w:tcBorders>
          </w:tcPr>
          <w:p>
            <w:pPr>
              <w:spacing w:after="0"/>
              <w:rPr>
                <w:sz w:val="18"/>
                <w:szCs w:val="18"/>
                <w:color w:val="auto"/>
              </w:rPr>
            </w:pPr>
          </w:p>
        </w:tc>
      </w:tr>
      <w:tr>
        <w:trPr>
          <w:trHeight w:val="20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w w:val="99"/>
              </w:rPr>
              <w:t>Equity compensation plans approved by stockholders........................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772,605</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877,395</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w w:val="99"/>
              </w:rPr>
              <w:t>Equity compensation plans not approved by security holders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772,605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877,395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4159885</wp:posOffset>
                </wp:positionH>
                <wp:positionV relativeFrom="paragraph">
                  <wp:posOffset>-401955</wp:posOffset>
                </wp:positionV>
                <wp:extent cx="19304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04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55pt,-31.6499pt" to="342.75pt,-31.6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-401955</wp:posOffset>
                </wp:positionV>
                <wp:extent cx="6413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31.6499pt" to="504pt,-31.6499pt" o:allowincell="f" strokecolor="#FFFFFF" strokeweight="0.9882pt"/>
            </w:pict>
          </mc:Fallback>
        </mc:AlternateConten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below “Recent Developments - January 2025 PIPE Offering.”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080" w:top="1078" w:right="1080" w:bottom="156" w:gutter="0" w:footer="0" w:header="0"/>
          <w:type w:val="continuous"/>
        </w:sectPr>
      </w:pPr>
    </w:p>
    <w:bookmarkStart w:id="88" w:name="page89"/>
    <w:bookmarkEnd w:id="88"/>
    <w:p>
      <w:pPr>
        <w:jc w:val="both"/>
        <w:spacing w:after="0" w:line="235"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amounts and per share data)</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should be read in conjunction with our financial statements and related notes included elsewhere in this Annual Report. This discussion and analysis and other parts of this Annual Report contain forward-looking statements based upon current beliefs that involve risks, uncertainties and assumptions, such as statements regarding our plans, objectives, expectations and intentions. Our actual results and the timing of selected events could differ materially from those described in or implied by these forward-looking statements as a result of several factors, including those set forth under “Item 1A Risk Factors” and elsewhere in this Annual Report. You should carefully read the “Item 1A Risk Factors” of this Annual Report to gain an understanding of the important factors that could cause actual results to differ materially from our forward-looking statements. Please also see “Disclosure Regarding Forward-Looking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are a clinical-stage biopharmaceutical company advancing therapeutics for cancer patients that are designed to overcome key hurdles in immune suppression and drug resistance.</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mission is to advance our portfolio of innovative therapeutics to reverse key mechanisms of therapeutic resistance and immune suppression and transform the way cancer is treated. We have leveraged molecular insights of the mechanisms of therapeutic resistance and immune suppression to develop a new class of novel drugs that are designed to target drug resistance and checkpoints of immune suppression. As of the date of this Quarterly Report, our product candidates have not been approved as safe or effective by the FDA or any other comparable foreign regulator.</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Since inception, we have incurred significant operating losses. Our net losses were $5,447 and $2,603 for the years ended December 31, 2025 and 2024, respectively. As of December 31, 2025, we had an accumulated deficit of $14,262.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will not generate revenue from product sales unless and until we successfully complete our clinical trials and obtain regulatory approval for our product candidates. In addition, if we obtain regulatory approval for our product candidates and do not enter into a third-party commercialization partnership, we will likely incur significant expenses related to developing our commercialization capability to support product sales, marketing, manufacturing, and distribution activities.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and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stockholders, in case of equity financing.</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080" w:top="1088" w:right="1080" w:bottom="156"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Equity Line of Credit Agreement (ELOC)</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November 12, 2024, we entered into an ELOC agreement (the “ELOC Agreement”) with Helena Global Investment Opportunities I LTD (“Helena”), pursuant to which Helena agreed to purchase from the Company up to $30,000 of common stock (the “ELOC Shares”), which the Company may exercise at any time following effectiveness of a registration statement at a price equal to the 95% of the lowest trading price during the three days following the Company’s notice to Helena to exercise the ELOC Agreement. The Company issued 670,641 shares of restricted common stock (the “Commitment Fee Shares”) to Helena as a “Commitment Fee” for the ELOC Agreement. The ELOC Agreement became available for the Company’s use following the filing and effectiveness of a resale registration statement registering the ELOC Shares for resale. Following effectiveness of the resale registration statement (the “Effective Date”), the Commitment Fee Shares were subject to a “true-up” pursuant to which, as the shares are valued at less than $900 on the Effective Date, additional shares were issued to Helena to bring the ELOC Shares to the full $900 value.</w:t>
      </w:r>
    </w:p>
    <w:p>
      <w:pPr>
        <w:spacing w:after="0" w:line="1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ELOC Agreement will terminate upon the following events: (i) the first day of the month next following the 36-month anniversary of the date of the ELOC Agreement or (ii) the date on which Helena has purchased the full $30,000 of ELOC Shares. The ELOC Agreement may also be terminated by the Company after its commencement, at the Company’s discretion, provided that there are no advance notices outstanding for which common stock has yet to be issued, and the Company has paid all amounts owed to Helena under the ELOC Agreement, including the Commitment Fee shares.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At the Company’s annual meeting of shareholders on June 10, 2025, a majority of the Company’s shareholders approved the issuance in excess of 19.99% of the Company’s common stock at a price below market value, in accordance with the terms of the ELOC Agreement and in compliance with Rule 713 of the NYSE American LLC Company Guide.</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2025, in connection with its ELOC agreement with Helena, the Company sold 3,510,000 shares of its common stock to Helena for net proceeds of $3,205. The shares were issued to Helena during the year ended December 31, 2025.</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Boustead Securities LLC (“Boustead”) and D. Boral Capital LLC (“D. Boral”) acted as placement agents (the “Placement Agents”) in the ELOC offering and, following each exercise, are entitled to cash compensation of 7%, 1% non-accountable fees and warrants equal to 7%. To date, the Placement Agents have received total cash compensation equal to $313,225 and a total of 245,750 warrants to purchase common stock, exercisable at exercise prices of $0.40, $0.46 and $1.2308 per share, which warrants will expire five years from the date of grant.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January 2025 PIPE Offering</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14, 2025, the Company entered into a securities purchase agreement (the “Purchase Agreement”) and registration rights agreement (the “Registration Rights Agreement”) with the investor name therein (the “Investor”) for the sale and issuance of 2,500,000 units (the “Pre-Funded Units”), with each Pre-Funded Unit consisting of a pre-funded warrant (the “Pre-Funded Warrant”) to purchase one share of common stock, exercisable for $0.001 per share, and a common warrant (the “Common Warrant”) to purchase one and one half shares of common stock, exercisable at $1.40 per share (the “January 2025 PIPE Offering”).</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On January 16, 2025, the Company closed the January 2025 PIPE Offering for a total purchase price of $3,498 (or $1.399 per Pre-Funded Unit), with an additional $2 payable upon the Investor’s exercise of the Pre-Funded Warrants in full.</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advance of closing, on January 16, 2025, the Company and the Investor entered into an amended and restated Purchase Agreement (the “A&amp;R Purchase Agreement”), which amended the terms of the Purchase Agreement to include a requirement that the Company obtain shareholder approval prior to issuing in excess of 19.99% of the Company’s common stock and also amended the Common Warrants to make them immediately exercisable and reduce the exercise period from 5.5 years to five years. Other terms of the Purchase Agreement and Common Warrants remained the same.</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Boustead and D. Boral acted as co-placement agents for the January 2025 PIPE Offering. In conjunction therewith, on January 16, 2025, the Company entered into a Placement Agent Agreement with Boustead (the “Placement Agent Agreement”). Under the terms of the Placement Agent Agreement, at closing, the Company paid the Placement Agents (i) a cash commission equal to 8% of the gross proceeds (including a 1% non-accountable expense fee) and (ii) warrants to purchase a total of 175,000 shares of common stock, exercisable at $1.40 per share, with the total cash and warrant compensation split equally between the Placement Agents.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1078" w:right="1080" w:bottom="156" w:gutter="0" w:footer="0" w:header="0"/>
          <w:type w:val="continuous"/>
        </w:sectPr>
      </w:pPr>
    </w:p>
    <w:bookmarkStart w:id="90" w:name="page91"/>
    <w:bookmarkEnd w:id="90"/>
    <w:p>
      <w:pPr>
        <w:jc w:val="both"/>
        <w:spacing w:after="0" w:line="239" w:lineRule="auto"/>
        <w:rPr>
          <w:sz w:val="20"/>
          <w:szCs w:val="20"/>
          <w:color w:val="auto"/>
        </w:rPr>
      </w:pPr>
      <w:r>
        <w:rPr>
          <w:rFonts w:ascii="Times New Roman" w:cs="Times New Roman" w:eastAsia="Times New Roman" w:hAnsi="Times New Roman"/>
          <w:sz w:val="20"/>
          <w:szCs w:val="20"/>
          <w:color w:val="auto"/>
        </w:rPr>
        <w:t>On January 20, 2025, the Company obtained the approval of 55.4% of the shareholders (the “Majority Shareholders”) for the issuance in excess of 19.99% of the Company’s common stock at a price below market value, in compliance with Rule 713 of the NYSE American LLC Company Guide. On February 10, 2025, the Company filed the definitive Schedule 14C and the shareholder approval became effective on March 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2026 At the Market Offering</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12, 2026, we entered into an at-the-market (“ATM”) offering agreement (the “ATM Agreement”) with H.C. Wainwright Co., LLC (the “Placement Agent”) for the sale, from time to time, of up to $4,524,949 shares of our common stock. We registered the common stock offered under the ATM pursuant to prospectus supplement filed in conjunction with our shelf registration statement on Form S-3 (SEC File No. 333-292686), which was declared effective on January 23, 2026. Pursuant to the ATM Agreement, the Placement Agent is entitled to a placement agent fee of 3.0% of the gross sale price of shares sold under the ATM.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have not generated any sales to date. No revenue was recorded from any sources during the years ended December 31, 2025 and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operating expenses consist of (i) research and development expenses and (ii) general and administrative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Dr. Ramachandran Murali is our Vice President of Research and Development. Dr. Murali is a doctor and scientist at Cedars-Sinai Medical Center, and is the inventor, with others, of three of the patented technologies that are subject to the Kairos-Cedars license agreements.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engaged in rolling out our Phase 1 and Phase 2 clinical trials for ENV 105 and a Phase 1 trial for KROS 201. In addition, we are continuously performing preclinical research including animal models of disease, medicinal chemistry laboratory studies, formulation, and toxicology and biodistribution studies. Our clinical development costs may vary significantly based on factors such as: per patient trial costs; the number of trials required for approval; the number of sites included in the trials; the location where the trials are conducted; the length of time required to enroll eligible patients; the number of patients that participate in the trials; the number of doses that patients receive; the drop-out or discontinuation rates of patients; potential additional safety monitoring requested by regulatory agencies; the duration of patient participation in the trials and follow-up; the cost and timing of manufacturing our product candidates; the phase of development of our product candidates; and the efficacy and safety profile of our product candidates.</w:t>
      </w:r>
    </w:p>
    <w:p>
      <w:pPr>
        <w:spacing w:after="0" w:line="2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successful development and commercialization of product candidates is highly uncertain. This is due to the numerous risks and uncertainties associated with product development and commercialization, including the following: the timing and progress of nonclinical and clinical development activities; the number and scope of nonclinical and clinical programs we decide to pursue; raising necessary additional funds; the progress of the development efforts of parties with whom we may enter into collaboration arrangements; our ability to maintain our current development program and to establish new ones; our ability to establish new licensing or collaboration arrangements; the successful initiation and completion of clinical trials with safety, tolerability and efficacy profiles that are satisfactory to the FDA or any comparable foreign regulatory authority; the receipt and related terms of regulatory approvals from applicable regulatory authorities; the availability of drug substance and drug product for use in production of our product candidate; establishing and maintaining agreements with third-party manufacturers for clinical supply for our clinical trials and commercial manufacturing, if our product candidates are approved; our ability to obtain and maintain patents, trade secret protection and regulatory exclusivity, both in the United States and internationally; our ability to protect our rights in our intellectual property portfolio; the commercialization of our product candidates, if and when approved; obtaining and maintaining third-party insurance coverage and adequate reimbursement; the acceptance of our product candidate, if approved, by patients, the medical community and third-party payors; competition with other products; the impact of any business interruptions to our operations, including the timing and enrollment of patients in our planned clinical trials, or to those of our manufacturers, suppliers, or other vendors resulting from any pandemic or public health crisis; and a continued acceptable safety profile of our therapies following approval.</w:t>
      </w:r>
    </w:p>
    <w:p>
      <w:pPr>
        <w:sectPr>
          <w:pgSz w:w="12240" w:h="15840" w:orient="portrait"/>
          <w:cols w:equalWidth="0" w:num="1">
            <w:col w:w="10080"/>
          </w:cols>
          <w:pgMar w:left="1080" w:top="1088" w:right="1080" w:bottom="156"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80"/>
          </w:cols>
          <w:pgMar w:left="1080" w:top="1088" w:right="1080" w:bottom="156" w:gutter="0" w:footer="0" w:header="0"/>
          <w:type w:val="continuous"/>
        </w:sectPr>
      </w:pPr>
    </w:p>
    <w:bookmarkStart w:id="91" w:name="page92"/>
    <w:bookmarkEnd w:id="91"/>
    <w:p>
      <w:pPr>
        <w:jc w:val="both"/>
        <w:ind w:left="20" w:right="40"/>
        <w:spacing w:after="0" w:line="238"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44" w:lineRule="exact"/>
        <w:rPr>
          <w:sz w:val="20"/>
          <w:szCs w:val="20"/>
          <w:color w:val="auto"/>
        </w:rPr>
      </w:pPr>
    </w:p>
    <w:p>
      <w:pPr>
        <w:jc w:val="both"/>
        <w:ind w:left="20" w:right="40"/>
        <w:spacing w:after="0" w:line="239"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costs for personnel in executive, finance, corporate and business development, as well as administrative functions. General and administrative expenses also include legal fees relating to patent, corporate, IPO-related matters, and SEC reporting matters; professional fees for accounting, auditing, tax and administrative consulting services; insurance costs; administrative travel expenses; marketing expenses and other operating costs.</w:t>
      </w:r>
    </w:p>
    <w:p>
      <w:pPr>
        <w:spacing w:after="0" w:line="246" w:lineRule="exact"/>
        <w:rPr>
          <w:sz w:val="20"/>
          <w:szCs w:val="20"/>
          <w:color w:val="auto"/>
        </w:rPr>
      </w:pPr>
    </w:p>
    <w:p>
      <w:pPr>
        <w:jc w:val="both"/>
        <w:ind w:left="20" w:right="40"/>
        <w:spacing w:after="0" w:line="238"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in the future as we increase our headcount to support our business operations. We also anticipate that we will incur increased accounting, audit, legal, regulatory, compliance, and director and officer insurance costs, as well as investor and public relations expenses associated with being a public company.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2025 and 2024</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r>
      <w:tr>
        <w:trPr>
          <w:trHeight w:val="210"/>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Revenues .....................................................................................................................</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41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r>
      <w:tr>
        <w:trPr>
          <w:trHeight w:val="212"/>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r>
      <w:tr>
        <w:trPr>
          <w:trHeight w:val="209"/>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Total operating expenses .............................................................................................</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40" w:type="dxa"/>
            <w:vAlign w:val="bottom"/>
          </w:tcPr>
          <w:p>
            <w:pPr>
              <w:spacing w:after="0"/>
              <w:rPr>
                <w:sz w:val="18"/>
                <w:szCs w:val="18"/>
                <w:color w:val="auto"/>
              </w:rPr>
            </w:pPr>
          </w:p>
        </w:tc>
      </w:tr>
      <w:tr>
        <w:trPr>
          <w:trHeight w:val="418"/>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Loss from operations ...................................................................................................</w:t>
            </w:r>
          </w:p>
        </w:tc>
        <w:tc>
          <w:tcPr>
            <w:tcW w:w="220" w:type="dxa"/>
            <w:vAlign w:val="bottom"/>
          </w:tcPr>
          <w:p>
            <w:pPr>
              <w:spacing w:after="0"/>
              <w:rPr>
                <w:sz w:val="24"/>
                <w:szCs w:val="24"/>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(5,572)</w:t>
            </w:r>
          </w:p>
        </w:tc>
        <w:tc>
          <w:tcPr>
            <w:tcW w:w="220" w:type="dxa"/>
            <w:vAlign w:val="bottom"/>
          </w:tcPr>
          <w:p>
            <w:pPr>
              <w:spacing w:after="0"/>
              <w:rPr>
                <w:sz w:val="24"/>
                <w:szCs w:val="24"/>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(2,343)</w:t>
            </w:r>
          </w:p>
        </w:tc>
      </w:tr>
      <w:tr>
        <w:trPr>
          <w:trHeight w:val="20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Interest expense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08"/>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Financing costs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w:t>
            </w:r>
          </w:p>
        </w:tc>
      </w:tr>
      <w:tr>
        <w:trPr>
          <w:trHeight w:val="209"/>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Debt discount amortization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r>
      <w:tr>
        <w:trPr>
          <w:trHeight w:val="209"/>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Gain on settlement of accounts payable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18"/>
                <w:szCs w:val="18"/>
                <w:color w:val="auto"/>
              </w:rPr>
            </w:pPr>
          </w:p>
        </w:tc>
      </w:tr>
      <w:tr>
        <w:trPr>
          <w:trHeight w:val="212"/>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08"/>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Total other income (expenses)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r>
      <w:tr>
        <w:trPr>
          <w:trHeight w:val="21"/>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Net loss ........................................................................................................................</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r>
      <w:tr>
        <w:trPr>
          <w:trHeight w:val="232"/>
        </w:trPr>
        <w:tc>
          <w:tcPr>
            <w:tcW w:w="6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5069205</wp:posOffset>
                </wp:positionH>
                <wp:positionV relativeFrom="paragraph">
                  <wp:posOffset>-2218055</wp:posOffset>
                </wp:positionV>
                <wp:extent cx="635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74.6499pt" to="404.15pt,-174.6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-2218055</wp:posOffset>
                </wp:positionV>
                <wp:extent cx="6413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74.6499pt" to="505pt,-174.6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-1674495</wp:posOffset>
                </wp:positionV>
                <wp:extent cx="635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31.8499pt" to="404.15pt,-131.8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-1674495</wp:posOffset>
                </wp:positionV>
                <wp:extent cx="6413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31.8499pt" to="505pt,-131.8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-1529080</wp:posOffset>
                </wp:positionV>
                <wp:extent cx="635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20.3999pt" to="404.15pt,-120.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-1529080</wp:posOffset>
                </wp:positionV>
                <wp:extent cx="6413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20.3999pt" to="505pt,-120.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-1251585</wp:posOffset>
                </wp:positionV>
                <wp:extent cx="635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98.5499pt" to="404.15pt,-98.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-1251585</wp:posOffset>
                </wp:positionV>
                <wp:extent cx="6413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98.5499pt" to="505pt,-98.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-443865</wp:posOffset>
                </wp:positionV>
                <wp:extent cx="635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34.9499pt" to="404.15pt,-34.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-443865</wp:posOffset>
                </wp:positionV>
                <wp:extent cx="6413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34.9499pt" to="505pt,-34.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-298450</wp:posOffset>
                </wp:positionV>
                <wp:extent cx="635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3.4999pt" to="404.15pt,-23.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-298450</wp:posOffset>
                </wp:positionV>
                <wp:extent cx="641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3.4999pt" to="505pt,-23.4999pt" o:allowincell="f" strokecolor="#FFFFFF" strokeweight="0.9882pt"/>
            </w:pict>
          </mc:Fallback>
        </mc:AlternateContent>
      </w:r>
    </w:p>
    <w:p>
      <w:pPr>
        <w:ind w:left="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table below summarizes our research and development expenses for the years ended December 31, 2025 and 2024:</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w:t>
            </w:r>
          </w:p>
        </w:tc>
      </w:tr>
      <w:tr>
        <w:trPr>
          <w:trHeight w:val="212"/>
        </w:trPr>
        <w:tc>
          <w:tcPr>
            <w:tcW w:w="6040" w:type="dxa"/>
            <w:vAlign w:val="bottom"/>
            <w:tcBorders>
              <w:bottom w:val="single" w:sz="8" w:color="auto"/>
            </w:tcBorders>
          </w:tcPr>
          <w:p>
            <w:pPr>
              <w:jc w:val="right"/>
              <w:ind w:right="3030"/>
              <w:spacing w:after="0"/>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Clinical trial and related expenses ..........................................................................</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Total research and development expenses ..................................................................</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5069205</wp:posOffset>
                </wp:positionH>
                <wp:positionV relativeFrom="paragraph">
                  <wp:posOffset>-296545</wp:posOffset>
                </wp:positionV>
                <wp:extent cx="635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3.3499pt" to="404.15pt,-23.3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-296545</wp:posOffset>
                </wp:positionV>
                <wp:extent cx="641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3.3499pt" to="505pt,-23.3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-151130</wp:posOffset>
                </wp:positionV>
                <wp:extent cx="635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1.8999pt" to="404.15pt,-11.8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-151130</wp:posOffset>
                </wp:positionV>
                <wp:extent cx="6413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1.8999pt" to="505pt,-11.8999pt" o:allowincell="f" strokecolor="#FFFFFF" strokeweight="0.9882pt"/>
            </w:pict>
          </mc:Fallback>
        </mc:AlternateConten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Research and development expenses were $2,135 and $414 for the years ended December 31, 2025 and 2024, respectively.</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increase in R&amp;D expenses in 2025 primarily related to our Phase 2 trial in prostate cancer beginning in 2024.</w:t>
      </w:r>
    </w:p>
    <w:p>
      <w:pPr>
        <w:sectPr>
          <w:pgSz w:w="12240" w:h="15840" w:orient="portrait"/>
          <w:cols w:equalWidth="0" w:num="1">
            <w:col w:w="10140"/>
          </w:cols>
          <w:pgMar w:left="1060" w:top="1088" w:right="104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140"/>
          </w:cols>
          <w:pgMar w:left="1060" w:top="1088" w:right="1040" w:bottom="156"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our general and administrative expenses for the years ended December 31, 2025 and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7"/>
                <w:szCs w:val="17"/>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w:t>
            </w:r>
          </w:p>
        </w:tc>
      </w:tr>
      <w:tr>
        <w:trPr>
          <w:trHeight w:val="212"/>
        </w:trPr>
        <w:tc>
          <w:tcPr>
            <w:tcW w:w="6040" w:type="dxa"/>
            <w:vAlign w:val="bottom"/>
            <w:tcBorders>
              <w:bottom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w w:val="99"/>
              </w:rPr>
              <w:t>General and Administrative Expenses: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06"/>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Stock-related expenses ............................................................................................</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Pr>
          <w:p>
            <w:pPr>
              <w:spacing w:after="0"/>
              <w:rPr>
                <w:sz w:val="17"/>
                <w:szCs w:val="17"/>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Officer and board compensation and wages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Patent related expenses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8"/>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expenses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Accounting expenses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professional service expenses and fees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Fees relating to license agreements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Insurance expenses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Vendor advances amortization expense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Intangible amortization expense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2"/>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expenses ........................................................................................................</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Total general and administrative expenses ..................................................................</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5056505</wp:posOffset>
                </wp:positionH>
                <wp:positionV relativeFrom="paragraph">
                  <wp:posOffset>-1621790</wp:posOffset>
                </wp:positionV>
                <wp:extent cx="635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27.6999pt" to="403.15pt,-127.6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-1621790</wp:posOffset>
                </wp:positionV>
                <wp:extent cx="6413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27.6999pt" to="504pt,-127.6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-151130</wp:posOffset>
                </wp:positionV>
                <wp:extent cx="635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1.8999pt" to="403.15pt,-11.8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-151130</wp:posOffset>
                </wp:positionV>
                <wp:extent cx="641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1.8999pt" to="504pt,-11.8999pt" o:allowincell="f" strokecolor="#FFFFFF" strokeweight="0.9882pt"/>
            </w:pict>
          </mc:Fallback>
        </mc:AlternateConten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General and administrative expenses were $3,437 and $1,929 for the years ended December 31, 2025 and 2024, respectively. Significant changes between periods consisted of the increase in other professional service expenses and fees, primarily related to being a publicly traded company; the increase in insurance expenses, primarily D&amp;O; and the increase in vendor advance amortization expense in 2025, relating to our vendor advances in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Other income (expenses) was $125 and $(260) for the years ended December 31, 2025 and 2024, respectively. In 2025, other income was interest income earned from our money market account. In 2024, other expenses were interest expense of $35, financing costs of $670 and debt discount amortization of $154, with other income relating to a gain on the settlement of accounts payable of $599.</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has experienced recurring losses from operations since inception and incurred a net loss of $5,447 and used cash in operations of $3,441 during the year ended December 31, 2025.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of December 31, 2025, the Company had cash and short-term investments of $4,491.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Annual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080" w:top="1078" w:right="1080" w:bottom="156"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our cash flow activities for the years ended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7"/>
                <w:szCs w:val="17"/>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31,</w:t>
            </w:r>
          </w:p>
        </w:tc>
      </w:tr>
      <w:tr>
        <w:trPr>
          <w:trHeight w:val="212"/>
        </w:trPr>
        <w:tc>
          <w:tcPr>
            <w:tcW w:w="6040" w:type="dxa"/>
            <w:vAlign w:val="bottom"/>
            <w:tcBorders>
              <w:bottom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w w:val="98"/>
              </w:rPr>
              <w:t>Net cash provided by (used in):</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8"/>
                <w:szCs w:val="18"/>
                <w:color w:val="auto"/>
              </w:rPr>
            </w:pPr>
          </w:p>
        </w:tc>
      </w:tr>
      <w:tr>
        <w:trPr>
          <w:trHeight w:val="206"/>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Operating activities .................................................................................................</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Investing activities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2"/>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Financing activities .................................................................................................</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60" w:type="dxa"/>
            <w:vAlign w:val="bottom"/>
          </w:tcPr>
          <w:p>
            <w:pPr>
              <w:spacing w:after="0"/>
              <w:rPr>
                <w:sz w:val="18"/>
                <w:szCs w:val="18"/>
                <w:color w:val="auto"/>
              </w:rPr>
            </w:pPr>
          </w:p>
        </w:tc>
      </w:tr>
      <w:tr>
        <w:trPr>
          <w:trHeight w:val="20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Net increase in cash and cash equivalents ...................................................................</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5056505</wp:posOffset>
                </wp:positionH>
                <wp:positionV relativeFrom="paragraph">
                  <wp:posOffset>-561975</wp:posOffset>
                </wp:positionV>
                <wp:extent cx="635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44.2499pt" to="403.15pt,-44.2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-561975</wp:posOffset>
                </wp:positionV>
                <wp:extent cx="6413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44.2499pt" to="504pt,-44.2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-151765</wp:posOffset>
                </wp:positionV>
                <wp:extent cx="635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1.9499pt" to="403.15pt,-11.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-151765</wp:posOffset>
                </wp:positionV>
                <wp:extent cx="6413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1.9499pt" to="504pt,-11.9499pt" o:allowincell="f" strokecolor="#FFFFFF" strokeweight="0.9882pt"/>
            </w:pict>
          </mc:Fallback>
        </mc:AlternateConten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2025, we used cash from operating activities of $3,441, compared to $3,955 used during the year ended December 31, 2024. During the year ended December 31, 2025, we incurred a net loss of $5,447 and had non-cash expenses of $2,182, compared to a net loss of $2,603 and non-cash expenses of $632 during the year ended December 31, 2024. The primary non-cash expense in 2025 was the amortization of vendor advances of $2,170.</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net change in operating assets and liabilities during the year ended December 31, 2025 used cash of $806, compared to $1,984 used during the year ended December 31, 2024. The primary use of cash relating to operating assets and liabilities during the year ended December 31, 2025, was the decrease in accounts payable and accrued expenses. The primary use of cash during the years ended December 31, 2024, was the increase in vendor advances.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During the year ended December 31, 2025, we provided cash from financing activities of $6,660, compared to $5,134 provided during the year ended December 31, 2024. For the year ended December 31, 2025, cash provided by financing activities consisted of proceeds from our private financing of $3,058 and proceeds of $3,602 from our ELOC. Net cash provided in 2024 was from net proceeds from our IPO of $5,524 and proceeds from notes payable – officers of $142. Net cash used in 2024 consisted of the payment of deferred offering costs of $390 and the repayment of notes payable – officers of $142.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 of Amounts Due to Related Parties</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During the year ended December 31, 2021, shareholders of the Company, and a company whose principal stockholder is also a stockholder of the Company, advanced the Company $14. The advances accrued no interest, were unsecured and were due on demand. During the year ended December 31, 2022, the Company repaid $10 of the advances, and as of December 31, 2023 and September 17, 2024 (the date of the closing of the Company’s IPO), a total of $4 was outstanding. During the three months ended September 30, 2024, the officers agreed to automatically convert the principal into shares of the Company’s common stock upon the closing of the IPO transaction. Upon the closing of the IPO, all of the principal automatically converted into 1,664 shares of the Company’s common stock based on the conversion price of $2.40, which was 60% of the IPO closing price of $4.00. As of December 31, 2024, no principal or interest was due on the advances.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Payable to Officers</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2024, the Company entered into note payable agreements with three of its officers in the aggregate total of $142. The notes accrued interest at 7.5% per annum, were unsecured and were due one year from the date of issuance. During the year ended December 31, 2024, the principal of $142 and accrued interest of $3 were repaid in the form of stock. In connection with the loans, the Company issued the officers 36,270 shares of the Company’s common stock. No amounts were owed to the officers as of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 Payable</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During the year ended December 31, 2022, the Company entered into several convertible note payable agreements with certain investors totaling $675. The notes accrue interest at 6% per annum, are unsecured and are due by April 2025. If the Company does not close an IPO transaction within 12 months of the date of the note, the Company would have the choice of paying off the principal plus all accrued and unpaid interest, or the note’s principal balance would increase to 110% of its original balance. The notes are convertible at the option of the noteholders into shares of the Company’s common stock at a price per share as defined in the agreement or will automatically be converted into shares of the Company’s common stock at 60% of the IPO price per share upon the closing of an IPO transaction. The net proceeds to the Company relating to the convertible notes, was $564. As of December 31, 2022, $675 of principal was outstanding on the notes, in addition to $17 of accrued and unpaid interest.</w:t>
      </w:r>
    </w:p>
    <w:p>
      <w:pPr>
        <w:sectPr>
          <w:pgSz w:w="12240" w:h="15840" w:orient="portrait"/>
          <w:cols w:equalWidth="0" w:num="1">
            <w:col w:w="10080"/>
          </w:cols>
          <w:pgMar w:left="1080" w:top="1078" w:right="1080" w:bottom="156"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80"/>
          </w:cols>
          <w:pgMar w:left="1080" w:top="1078" w:right="1080" w:bottom="156" w:gutter="0" w:footer="0" w:header="0"/>
          <w:type w:val="continuous"/>
        </w:sectPr>
      </w:pPr>
    </w:p>
    <w:bookmarkStart w:id="94" w:name="page95"/>
    <w:bookmarkEnd w:id="94"/>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2023, no principal or interest payments were made on the notes and the notes accrued interest of $43. As the Company did not close its IPO transaction within 12 months of the date of the notes, the notes’ principal balance increased to 110% of their original balance, or an increase of $68. As of December 31, 2023, $743 of principal was outstanding on the notes and $60 of accrued and unpaid interest.</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2024, as the Company had not closed its IPO transaction within 12 months of the date of issuance of the notes, a portion of the notes’ principal balance increased to 110% of their previous balance, or an increase of $49. As of September 17, 2024, $792 of principal was outstanding on the notes and $92 of accrued and unpaid interest.</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Upon closing of the Company’s IPO on September 17, 2024, the principal amount of $792, plus the accrued and unpaid interest of $92, totaling $884, automatically converted into 368,371 shares of the Company’s common stock based on the principal and accrued interest due as of September 17, 2024. No principal or interest was owed on the notes as of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 of Accounts Payable</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2024, the Company entered into an agreement with Cedars-Sinai Medical Center (“Cedars”) under which Cedars agreed to convert $750 of the total accounts payable due to them into 312,500 shares of the Company’s common stock, with such conversion to occur upon the closing of the Company’s IPO. The conversion price of the shares was equal to 60% of the per share IPO price, or $2.40 per share. Upon the closing of the IPO, the shares were issued to Cedars and the debt was converted.</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Also, during the year ended December 31, 2024, the Company entered into another agreement with Cedars under which Cedars agreed to convert $200 of the total accounts payable due to them into 150,830 shares of the Company’s common stock. The conversion price of the shares was equal to 60% of the closing price of the Company’s common stock on the date of the agreement, or $1.33 per share.</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2024, the Company entered into an agreement with its Chief Financial Officer, under which the Chief Financial Officer agreed to convert $172 of the total accounts payable due to him into 51,610 shares of the Company’s common stock with such conversion to occur upon the closing of the Company’s IPO. The conversion price of the shares was equal to 83% of the IPO price. Upon the closing of the IPO, the shares were issued to our Chief Financial Officer. No amounts were owed to the Chief Financial Officer as of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Kairos Agreement with Prevail Infoworks, Inc.</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August 2024, the Company entered into a master service and technology agreement with Prevail Infoworks, Inc. (“Prevail”), pursuant to which Prevail agreed to provide certain clinical research services to the Company. As part of the agreement, the Company must make an advance payment of $900 to Prevail before they begin their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advance payment to Prevail in October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Kairos Agreement with PreCheck Health Services, Inc.</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September 20, 2024, the Company entered into a bioassay services agreement (the “Bioassay Services Agreement”) with PreCheck Health Services, Inc., a Florida-based corporation (“PreCheck”). Pursuant to the Bioassay Services Agreement, PreCheck will provide certain biomarker screening services for the Company’s ongoing carotuximab (ENV105) clinical trials in order to assist the Company in identifying lung and prostate cancer patients suitable to the Company’s ongoing Phase 1 clinical trials for lung cancer patients and Phase 2 trials for patients with castrate resistant prostate cancer. In order to identify biomarkers for patient screening and therapy monitoring using carotuximab (ENV105), PreCheck will utilize its SolidTumorCheck+ platform for the somatic gene expression analysis of biopsy tissue samples derived from patients with lung and prostate cancer, as part of the Company’s ongoing clinical trials. In furtherance of these efforts, PreCheck will develop a companion diagnostic to support its identification of such patients with a three gene PCR analysis or other genetic analysis, which diagnostic test will then be developed and submitted to the FDA for castrate-resistant prostate cancer patients and for lung cancer patients on Tagrisso. In exchange for PreCheck’s services, and according to the terms of the Bioassay Services Agreement, the Company paid $900 to PreCheck as an advance for the future laboratory services to be performed. The term of the agreement is one year from the effective date.</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080" w:top="1088" w:right="1080" w:bottom="156"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Kairos Agreement with CEO.CA Technologies Ltd.</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23, 2024, the Company entered into an advisory and consulting services agreement (the “CEO.CA Agreement”) with CEO.CA Technologies Ltd., a Canadian company (“CEO.CA”), pursuant to which CEO.CA will provide certain internet-based financial information and communications services for a period of one year for a services fee of $250. The service fee is an advance on future services to be performed. The CEO.CA Agreement includes such services as strategic news placement, news releases, interviews, monthly analytics and a video launch. The CEO.CA Agreement contains other customary clauses, including representations and warranties, indemnification clauses and governing law clauses.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Kairos Agreement with Belair Capital Advisors Inc.</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23, 2024, the Company entered into a strategic advisory agreement (the “Strategic Advisory Agreement”) with Belair Capital Advisors Inc. (“BCA”). BCA, a venture capital and corporate finance advisory firm, has been a long-term investor and advisor to the Company and frequently works with early-stage pharmaceutical companies. The strategic advisory services consist of corporate strategy, market positioning and long-term growth plans within the pharmaceutical sector, digital marketing and engagement, market research analysis and business development assistance, among other things. During the one-year term of the Strategic Advisory Agreement, in exchange for its services, the Company will pay BCA $365 fee and will issue BCA 50,000 RSUs, which will vest at the end of six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Kairos Agreement with Cross Current Capital LLC</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$200,000 in cash and agreed to issue to the Advisor restricted shares of the Company’s common stock, issuable under the Company’s 2023 Equity Inventive Plan, in an amount equal to $500,000 (the “Shares”), which Shares will vest at the end of six months after issuance. Should the Shares be valued at less than $500 on the date of vesting, the Shares will be subject to a “true-up” pursuant to which additional shares will be issued to the holder to bring the value of to $500 as of that date (the “True-up Shares”) and the True-up Shares will be deemed fully vested as of the date of issuance. The term of the Consulting Agreement is 24 months and can be extended for another 12 months upon the written consent of both parties. The Company made the $200 payment in October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Exclusive License Agreements with Cedars</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have entered into four Exclusive License Agreements with Cedars which grants us licensing rights with respect to certain patent rights owned by Cedars as follows:</w:t>
      </w:r>
    </w:p>
    <w:p>
      <w:pPr>
        <w:spacing w:after="0" w:line="165" w:lineRule="exact"/>
        <w:rPr>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Methods of use of compounds that bind to RelA of NFkB;</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 and methods for treating fibrosis;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Compositions and methods for treating cancer and autoimmune diseases;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 of generating activated T cells for cancer therapy.</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June 2, 2021, our wholly owned subsidiary, Enviro, entered into two Exclusive License Agreements with Cedars, which granted Enviro exclusive licensing rights (which include the right to sublicense) with respect to certain patent rights owned by Cedars, as follows:</w:t>
      </w:r>
    </w:p>
    <w:p>
      <w:pPr>
        <w:spacing w:after="0" w:line="176" w:lineRule="exact"/>
        <w:rPr>
          <w:sz w:val="20"/>
          <w:szCs w:val="20"/>
          <w:color w:val="auto"/>
        </w:rPr>
      </w:pPr>
    </w:p>
    <w:p>
      <w:pPr>
        <w:jc w:val="both"/>
        <w:ind w:left="720" w:hanging="360"/>
        <w:spacing w:after="0" w:line="238"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w:t>
      </w:r>
    </w:p>
    <w:p>
      <w:pPr>
        <w:spacing w:after="0" w:line="2"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Circulation and for Detection of Mitochondrial DNA” invented by Dr. Neil Bhowmick and others; and</w:t>
      </w:r>
    </w:p>
    <w:p>
      <w:pPr>
        <w:spacing w:after="0" w:line="81"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Exclusive License Agreement, (the “Enviro-Cedars License Agreement (Endoglin Antagonism)” and, collectively with the Enviro-Cedars License Agreement (Mitochondrial DNA), the “Enviro-Cedars License Agreements”) for</w:t>
      </w:r>
    </w:p>
    <w:p>
      <w:pPr>
        <w:jc w:val="both"/>
        <w:ind w:left="720"/>
        <w:spacing w:after="0" w:line="23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Enviro to develop, manufacture, use and sell products utilized or derived from the patent rights and technical information worldwide related to the “Sensitization of Tumors to Therapies Through Endoglin Antagonism” invented by Dr. Bhowmick and others.</w:t>
      </w:r>
    </w:p>
    <w:p>
      <w:pPr>
        <w:sectPr>
          <w:pgSz w:w="12240" w:h="15840" w:orient="portrait"/>
          <w:cols w:equalWidth="0" w:num="1">
            <w:col w:w="10080"/>
          </w:cols>
          <w:pgMar w:left="1080" w:top="1078" w:right="1080" w:bottom="156"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80"/>
          </w:cols>
          <w:pgMar w:left="1080" w:top="1078" w:right="1080" w:bottom="156"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u w:val="single" w:color="auto"/>
          <w:color w:val="auto"/>
        </w:rPr>
        <w:t>Agreement with former Chief Financial Officer</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have an agreement with our former Chief Financial Officer that requires us to pay $50 upon the completion of raising more than $900 in a debt or an equity financing. $50 was owed as of December 31, 2024 and that amount was paid to the former CFO during the period ended March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Funding Requirements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expect our expenses to increase substantially in connection with our ongoing research activities, particularly as we pursue the advancement of our product candidates through clinical trials. In addition, we expect to incur additional costs associated with operating as a public company. The timing and amount of our operating expenditures will depend on numerous variables, including: the initiation, progress, timing, costs and results of the clinical trials for our product candidates or any future product candidates we may develop; the initiation, progress, timing, costs and results of nonclinical studies for our product candidates or any future product candidates we may develop; our ability to maintain our relationships with key collaborators; 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the effect of competing technological and market developments; the costs of continuing to grow our business, including hiring key personnel and maintain or acquiring operating space; market acceptance of any approved product candidates, including product pricing, as well as product coverage and the adequacy of reimbursement by third-party payors; the cost of acquiring, licensing or investing in additional businesses, products, product candidates and technologies; the cost and timing of selecting, auditing and potentially validating a manufacturing site for commercial-scale manufacturing; the cost of establishing sales, marketing and distribution capabilities for any product candidates for which we may receive regulatory approval and that we determine to commercialize; and our need to implement additional internal systems and infrastructure, including financial and reporting systems.</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expect that we will continue to require additional funding to complete the clinical development and commercialization of our product candidates, if we receive regulatory approval, and pursue in-licenses or acquisitions of other product candidates. If we receive regulatory approval for our product candidates, we expect to incur significant commercialization expenses related to product manufacturing, sales, marketing and distribution, depending on where we choose to commercialize ourselves.</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the rights of our current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Management’s Discussion and Analysis of Financial Condition and Results of Operations is based on our financial statements, which have been prepared in accordance with accounting principles generally accepted in the United States, or GAAP. The preparation of these financial statements requires us to make estimates, judgments and assumptions that affect the reported amounts of assets and liabilities, disclosure of contingent assets and liabilities as of the date of the balance sheets and the reported amounts of expenses during the reporting periods.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financial statements prospectively from the date of the change in estimate.</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80"/>
          </w:cols>
          <w:pgMar w:left="1080" w:top="1078" w:right="1080" w:bottom="156" w:gutter="0" w:footer="0" w:header="0"/>
          <w:type w:val="continuous"/>
        </w:sectPr>
      </w:pPr>
    </w:p>
    <w:bookmarkStart w:id="97" w:name="page98"/>
    <w:bookmarkEnd w:id="97"/>
    <w:p>
      <w:pPr>
        <w:jc w:val="both"/>
        <w:spacing w:after="0" w:line="239" w:lineRule="auto"/>
        <w:rPr>
          <w:sz w:val="20"/>
          <w:szCs w:val="20"/>
          <w:color w:val="auto"/>
        </w:rPr>
      </w:pPr>
      <w:r>
        <w:rPr>
          <w:rFonts w:ascii="Times New Roman" w:cs="Times New Roman" w:eastAsia="Times New Roman" w:hAnsi="Times New Roman"/>
          <w:sz w:val="20"/>
          <w:szCs w:val="20"/>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unaudited financial statements appearing elsewhere in this Quarterly Report, we believe the following are the critical accounting policies used in the preparation of our financial statements that require significant estimates and judgments.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Vendor Advances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entered into various contracts with service providers pursuant to which we pay the vendor an advance at the beginning of the contractual period. These vendor advances could be paid by us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2024, advances to vendors totaled $3,115, with $2,615 being paid in cash and $500 being paid with shares of our common stock. Amortization expense relating to the vendor advances during the year ended December 31, 2024 was $256, with an unamortized balance of $2,859 as of December 31, 2024. During the year ended December 31, 2025, an additional advance to a vendor totaled $156, with the advance being paid with shares of our common stock, and amortization expense relating to the vendor advances was $2,170, with an unamortized balance of $845 as of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Offering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 with Helena Global Investment Opportunities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November 12, 2024, we entered into an agreement with Helena Global Investment Opportunities I LTD (“Helena”) pursuant to which we will have the right to issue and sell to Helena, from time to time, and Helena shall purchase from us, up to $30,000 of the Company’s shares of common stock (the “Equity Line of Credit”). The Equity Line of Credit became available to us after we filed a registration statement on Form S-1 registering the shares issuable under the Equity Line of Credit and such registration statement became effective. In exchange for the Equity Line of Credit, we are obligated to issue Helena a certain number of shares of common stock, calculated using $900 divided by the lowest one-day VWAP during the five trading days prior to entry into the agreement. As a result, we issued Helena 670,641 shares of its common stock valued at $1,377 on the date of issuance. We accounted for the value of the shares issued as deferred offering costs. The shares vested on the date of the agreement, were issued to Helena, and were subject to a “true up” based upon the value of the stock after we filed and obtained effectiveness of the registration statement registering the ELOC shares for resale. At December 31, 2024, the balance of the deferred offering costs was $1,377.</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April 24, 2025, we issued another 384,459 shares of its common stock to Helena. The fair value of the shares on the date of grant was $328. We recorded the fair value of the shares as deferred offering costs as of the same date. During the year ended December 31, 2025, we amortized $614 of these costs as shares were issued under the agreement. As of December 31, 2025, the balance of the deferred offering costs was $1,091.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in connection with the development of our product candidates. We expense research and development costs as incurred.</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At the end of each reporting period, we compare payments made to third-party service providers to the estimated progress toward completion of the applicable research or development objectives. Such estimates are subject to change as additional information becomes available. Depending on the timing of payments to the service providers and the progress that we estimate has been made as a result of the service provided, we may record net prepaid or accrued expenses relating to these costs. As of December 31, 2024 and 2025, we have not made any material adjustments to our prior estimates of accrued research and development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measures all stock options and other stock-based awards granted based on the fair value of the award on the date of the grant and recognizes compensation expense for those awards over the requisite service period, which is generally the vesting period of the respective award. The Company has elected to recognize forfeitures as they occur. The reversal of compensation cost previously recognized for an award that is forfeited because of a failure to satisfy a service or performance condition is recognized in the period of the forfeiture. Generally, the Company issues stock options with only service-based vesting conditions and records the expense for these awards using the straight-line method over the requisite service period.</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1088" w:right="1080" w:bottom="156" w:gutter="0" w:footer="0" w:header="0"/>
          <w:type w:val="continuous"/>
        </w:sectPr>
      </w:pPr>
    </w:p>
    <w:bookmarkStart w:id="98" w:name="page99"/>
    <w:bookmarkEnd w:id="98"/>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statements of operations in the same manner in which the award recipient’s payroll costs are classified or in which the award recipients’ service payments are classified.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was a private company until the listing of the Company’s common stock on the NYSE American on September 16, 2024 and the subsequent closing of its IPO on September 17, 2024. The Company estimates the fair value of its common stock using an appropriate valuation methodology, in accordance with the framework of the American Institute of Certified Public Accountants’ Technical Practice Aid, Valuation of Privately-Held Company Equity Securities Issued as Compensation.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its common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or warrants at each valuation date, as applicable.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fair value of each stock option or warrant grant is estimated using the Black-Scholes option-pricing model. The Company was a private company and lacked company-specific historical and implied volatility information. Therefore, it estimated its expected stock volatility based on the historical volatility of a publicly traded set of peer companies within the biotechnology industry with characteristics similar to the Company.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From time to time, we may have certain contingent liabilities that arise in the ordinary course of business. We evaluate the likelihood of an unfavorable outcome in legal or regulatory proceedings to which we are a party and record a loss contingency on an undiscounted basis when it is probable that a liability has been incurred and the amount of the loss can be reasonably estimated. These judgments are subjective and based on the status of such legal proceedings, the merits of our defenses, and consultation with legal counsel. Actual outcomes of these legal proceedings may differ materially from our estimates. We estimate accruals for legal expenses when incurred as of each balance sheet date based on the facts and circumstances known to us at that time.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During the years ended December 31, 2025 and 2024, we did not have, and we do not currently have, any off-balance sheet arrangements (as defined under SEC rules).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For a description of recently issued accounting standards that may have a material impact on our financial statements or will otherwise apply to our operations, please see Note 2 to our audited financial statements appearing elsewhere in this Annual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“smaller reporting company,” this item is not required.</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80"/>
          </w:cols>
          <w:pgMar w:left="1080" w:top="1088" w:right="1080" w:bottom="156"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720" w:type="dxa"/>
            <w:vAlign w:val="bottom"/>
          </w:tcPr>
          <w:p>
            <w:pPr>
              <w:spacing w:after="0"/>
              <w:rPr>
                <w:sz w:val="19"/>
                <w:szCs w:val="19"/>
                <w:color w:val="auto"/>
              </w:rPr>
            </w:pPr>
          </w:p>
        </w:tc>
      </w:tr>
      <w:tr>
        <w:trPr>
          <w:trHeight w:val="464"/>
        </w:trPr>
        <w:tc>
          <w:tcPr>
            <w:tcW w:w="9360" w:type="dxa"/>
            <w:vAlign w:val="bottom"/>
          </w:tcPr>
          <w:p>
            <w:pPr>
              <w:ind w:left="376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720" w:type="dxa"/>
            <w:vAlign w:val="bottom"/>
          </w:tcPr>
          <w:p>
            <w:pPr>
              <w:spacing w:after="0"/>
              <w:rPr>
                <w:sz w:val="24"/>
                <w:szCs w:val="24"/>
                <w:color w:val="auto"/>
              </w:rPr>
            </w:pPr>
          </w:p>
        </w:tc>
      </w:tr>
      <w:tr>
        <w:trPr>
          <w:trHeight w:val="466"/>
        </w:trPr>
        <w:tc>
          <w:tcPr>
            <w:tcW w:w="936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99"/>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 -Weinberg and Company, P.A. (PCAOB Firm ID:</w:t>
            </w:r>
          </w:p>
        </w:tc>
        <w:tc>
          <w:tcPr>
            <w:tcW w:w="720" w:type="dxa"/>
            <w:vAlign w:val="bottom"/>
          </w:tcPr>
          <w:p>
            <w:pPr>
              <w:spacing w:after="0"/>
              <w:rPr>
                <w:sz w:val="24"/>
                <w:szCs w:val="24"/>
                <w:color w:val="auto"/>
              </w:rPr>
            </w:pPr>
          </w:p>
        </w:tc>
      </w:tr>
      <w:tr>
        <w:trPr>
          <w:trHeight w:val="231"/>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572) </w:t>
            </w:r>
            <w:r>
              <w:rPr>
                <w:rFonts w:ascii="Times New Roman" w:cs="Times New Roman" w:eastAsia="Times New Roman" w:hAnsi="Times New Roman"/>
                <w:sz w:val="20"/>
                <w:szCs w:val="20"/>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w:t>
            </w:r>
          </w:p>
        </w:tc>
      </w:tr>
      <w:tr>
        <w:trPr>
          <w:trHeight w:val="302"/>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Report of Independent Registered Public Accounting Firm – Marcum LLP (PCAOB Firm ID: 688) </w:t>
            </w:r>
            <w:r>
              <w:rPr>
                <w:rFonts w:ascii="Times New Roman" w:cs="Times New Roman" w:eastAsia="Times New Roman" w:hAnsi="Times New Roman"/>
                <w:sz w:val="20"/>
                <w:szCs w:val="20"/>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F-2</w:t>
            </w:r>
          </w:p>
        </w:tc>
      </w:tr>
      <w:tr>
        <w:trPr>
          <w:trHeight w:val="309"/>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Balance Sheets as of December 31, 2025 and 202</w:t>
            </w: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302"/>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for the Years Ended December 31, 2025 and 202</w:t>
            </w: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268"/>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 (Deficit) for the Years Ended December 31,</w:t>
            </w:r>
          </w:p>
        </w:tc>
        <w:tc>
          <w:tcPr>
            <w:tcW w:w="720" w:type="dxa"/>
            <w:vAlign w:val="bottom"/>
          </w:tcPr>
          <w:p>
            <w:pPr>
              <w:spacing w:after="0"/>
              <w:rPr>
                <w:sz w:val="23"/>
                <w:szCs w:val="23"/>
                <w:color w:val="auto"/>
              </w:rPr>
            </w:pPr>
          </w:p>
        </w:tc>
      </w:tr>
      <w:tr>
        <w:trPr>
          <w:trHeight w:val="264"/>
        </w:trPr>
        <w:tc>
          <w:tcPr>
            <w:tcW w:w="9360" w:type="dxa"/>
            <w:vAlign w:val="bottom"/>
          </w:tcPr>
          <w:p>
            <w:pPr>
              <w:spacing w:after="0" w:line="264" w:lineRule="exact"/>
              <w:rPr>
                <w:sz w:val="20"/>
                <w:szCs w:val="20"/>
                <w:color w:val="auto"/>
              </w:rPr>
            </w:pPr>
            <w:r>
              <w:rPr>
                <w:rFonts w:ascii="Times New Roman" w:cs="Times New Roman" w:eastAsia="Times New Roman" w:hAnsi="Times New Roman"/>
                <w:sz w:val="20"/>
                <w:szCs w:val="20"/>
                <w:b w:val="1"/>
                <w:bCs w:val="1"/>
                <w:color w:val="auto"/>
              </w:rPr>
              <w:t>2025 and 202</w:t>
            </w: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302"/>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for the Years Ended December 31, 2025 and 202</w:t>
            </w: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302"/>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Notes to Consolidated Financial Statements </w:t>
            </w:r>
            <w:r>
              <w:rPr>
                <w:rFonts w:ascii="Times New Roman" w:cs="Times New Roman" w:eastAsia="Times New Roman" w:hAnsi="Times New Roman"/>
                <w:sz w:val="24"/>
                <w:szCs w:val="2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bl>
    <w:p>
      <w:pPr>
        <w:spacing w:after="0" w:line="200" w:lineRule="exact"/>
        <w:rPr>
          <w:sz w:val="20"/>
          <w:szCs w:val="20"/>
          <w:color w:val="auto"/>
        </w:rPr>
      </w:pP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080"/>
          </w:cols>
          <w:pgMar w:left="1080" w:top="1078" w:right="1080" w:bottom="156" w:gutter="0" w:footer="0" w:header="0"/>
          <w:type w:val="continuous"/>
        </w:sectPr>
      </w:pPr>
    </w:p>
    <w:bookmarkStart w:id="100" w:name="page101"/>
    <w:bookmarkEnd w:id="100"/>
    <w:p>
      <w:pPr>
        <w:ind w:left="1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Kairos Pharma, Ltd.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 of Kairos Pharma, Ltd. (the “Company”) as of December 31, 2025, the related consolidated statements of operations, changes in shareholders’ equity (deficit) and cash flows for the year ended December 31, 2025, and the related notes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Weinberg &amp; Company P.A.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Weinberg &amp; Company P.A.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080"/>
          </w:cols>
          <w:pgMar w:left="1080" w:top="1078" w:right="1080" w:bottom="156" w:gutter="0" w:footer="0" w:header="0"/>
          <w:type w:val="continuous"/>
        </w:sectPr>
      </w:pPr>
    </w:p>
    <w:bookmarkStart w:id="101" w:name="page102"/>
    <w:bookmarkEnd w:id="101"/>
    <w:p>
      <w:pPr>
        <w:ind w:left="25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Kairos Pharma, Ltd.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Kairos Pharma, Ltd. (the “Company”) as of December 31, 2024, the related consolidated statements of operations, shareholders’ equity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w:t>
      </w:r>
      <w:r>
        <w:rPr>
          <w:rFonts w:ascii="Times New Roman" w:cs="Times New Roman" w:eastAsia="Times New Roman" w:hAnsi="Times New Roman"/>
          <w:sz w:val="15"/>
          <w:szCs w:val="15"/>
          <w:color w:val="auto"/>
        </w:rPr>
        <w:t>ARCUM</w:t>
      </w:r>
      <w:r>
        <w:rPr>
          <w:rFonts w:ascii="Times New Roman" w:cs="Times New Roman" w:eastAsia="Times New Roman" w:hAnsi="Times New Roman"/>
          <w:sz w:val="20"/>
          <w:szCs w:val="20"/>
          <w:color w:val="auto"/>
        </w:rPr>
        <w:t xml:space="preserve">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We have served as the Company’s auditor from 2021 through 2025 (such date takes into account the acquisition of the attest business of Marcum </w:t>
      </w:r>
      <w:r>
        <w:rPr>
          <w:rFonts w:ascii="Times New Roman" w:cs="Times New Roman" w:eastAsia="Times New Roman" w:hAnsi="Times New Roman"/>
          <w:sz w:val="15"/>
          <w:szCs w:val="15"/>
          <w:color w:val="auto"/>
        </w:rPr>
        <w:t>LLP</w:t>
      </w:r>
      <w:r>
        <w:rPr>
          <w:rFonts w:ascii="Times New Roman" w:cs="Times New Roman" w:eastAsia="Times New Roman" w:hAnsi="Times New Roman"/>
          <w:sz w:val="20"/>
          <w:szCs w:val="20"/>
          <w:color w:val="auto"/>
        </w:rPr>
        <w:t xml:space="preserve"> by CBIZ CPAs P.C. effective November 1,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15, 2025</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080"/>
          </w:cols>
          <w:pgMar w:left="1080" w:top="1078" w:right="1080" w:bottom="156" w:gutter="0" w:footer="0" w:header="0"/>
          <w:type w:val="continuous"/>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Kairos Pharma, Ltd.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thousands, except for share amounts and par value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4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9"/>
              </w:rPr>
              <w:t>Cash and cash equivalents ...........................................................................................</w:t>
            </w: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advances, net ..................................................................................................</w:t>
            </w:r>
          </w:p>
        </w:tc>
        <w:tc>
          <w:tcPr>
            <w:tcW w:w="1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 ...................................................................</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Current Assets </w:t>
            </w: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offering costs ................................................................................................</w:t>
            </w:r>
          </w:p>
        </w:tc>
        <w:tc>
          <w:tcPr>
            <w:tcW w:w="1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 ...................................................................................................</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Other Assets </w:t>
            </w: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9"/>
              </w:rPr>
              <w:t xml:space="preserve">TOTAL ASSETS </w:t>
            </w:r>
            <w:r>
              <w:rPr>
                <w:rFonts w:ascii="Times New Roman" w:cs="Times New Roman" w:eastAsia="Times New Roman" w:hAnsi="Times New Roman"/>
                <w:sz w:val="18"/>
                <w:szCs w:val="18"/>
                <w:color w:val="auto"/>
                <w:w w:val="79"/>
              </w:rPr>
              <w:t>.......................................................................................................</w:t>
            </w: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6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36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9"/>
              </w:rPr>
              <w:t>Accounts payable and accrued expenses .....................................................................</w:t>
            </w: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Current Liabilities </w:t>
            </w: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9"/>
              </w:rPr>
              <w:t xml:space="preserve">Commitments and contingencies </w:t>
            </w:r>
            <w:r>
              <w:rPr>
                <w:rFonts w:ascii="Times New Roman" w:cs="Times New Roman" w:eastAsia="Times New Roman" w:hAnsi="Times New Roman"/>
                <w:sz w:val="18"/>
                <w:szCs w:val="18"/>
                <w:color w:val="auto"/>
                <w:w w:val="79"/>
              </w:rPr>
              <w:t>.............................................................................</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 par value $0.001, 20,000,000 shares authorized; no shares issued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outstanding, respectively; .....................................................................................</w:t>
            </w:r>
          </w:p>
        </w:tc>
        <w:tc>
          <w:tcPr>
            <w:tcW w:w="1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$0.001, 100,000,000 shares authorized;</w:t>
            </w:r>
          </w:p>
        </w:tc>
        <w:tc>
          <w:tcPr>
            <w:tcW w:w="252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w w:val="98"/>
              </w:rPr>
              <w:t>20,821,353 and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13,736,597 shares issued and outstanding, respectively; ............................................</w:t>
            </w:r>
          </w:p>
        </w:tc>
        <w:tc>
          <w:tcPr>
            <w:tcW w:w="1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 ............................................................................................</w:t>
            </w:r>
          </w:p>
        </w:tc>
        <w:tc>
          <w:tcPr>
            <w:tcW w:w="1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 ....................................................................................................</w:t>
            </w:r>
          </w:p>
        </w:tc>
        <w:tc>
          <w:tcPr>
            <w:tcW w:w="1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(14,262)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Shareholders’ Equity </w:t>
            </w: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9"/>
              </w:rPr>
              <w:t xml:space="preserve">TOTAL LIABILITIES AND SHAREHOLDERS’ EQUITY </w:t>
            </w:r>
            <w:r>
              <w:rPr>
                <w:rFonts w:ascii="Times New Roman" w:cs="Times New Roman" w:eastAsia="Times New Roman" w:hAnsi="Times New Roman"/>
                <w:sz w:val="18"/>
                <w:szCs w:val="18"/>
                <w:color w:val="auto"/>
                <w:w w:val="79"/>
              </w:rPr>
              <w:t>...............................</w:t>
            </w: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6349365</wp:posOffset>
                </wp:positionH>
                <wp:positionV relativeFrom="paragraph">
                  <wp:posOffset>-4439285</wp:posOffset>
                </wp:positionV>
                <wp:extent cx="641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349.5499pt" to="505pt,-349.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-4293870</wp:posOffset>
                </wp:positionV>
                <wp:extent cx="635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338.0999pt" to="404.15pt,-338.0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-4293870</wp:posOffset>
                </wp:positionV>
                <wp:extent cx="6413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338.0999pt" to="505pt,-338.0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-3618865</wp:posOffset>
                </wp:positionV>
                <wp:extent cx="635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84.9499pt" to="404.15pt,-284.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-3618865</wp:posOffset>
                </wp:positionV>
                <wp:extent cx="6413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84.9499pt" to="505pt,-284.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-3473450</wp:posOffset>
                </wp:positionV>
                <wp:extent cx="635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73.4999pt" to="404.15pt,-273.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-3473450</wp:posOffset>
                </wp:positionV>
                <wp:extent cx="6413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73.4999pt" to="505pt,-273.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-3062605</wp:posOffset>
                </wp:positionV>
                <wp:extent cx="635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41.1499pt" to="404.15pt,-241.1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-3062605</wp:posOffset>
                </wp:positionV>
                <wp:extent cx="641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41.1499pt" to="505pt,-241.1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-2917825</wp:posOffset>
                </wp:positionV>
                <wp:extent cx="635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29.7499pt" to="404.15pt,-229.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-2917825</wp:posOffset>
                </wp:positionV>
                <wp:extent cx="6413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29.7499pt" to="505pt,-229.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3980815</wp:posOffset>
                </wp:positionH>
                <wp:positionV relativeFrom="paragraph">
                  <wp:posOffset>-2615565</wp:posOffset>
                </wp:positionV>
                <wp:extent cx="108839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45pt,-205.9499pt" to="399.15pt,-205.9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5260975</wp:posOffset>
                </wp:positionH>
                <wp:positionV relativeFrom="paragraph">
                  <wp:posOffset>-2615565</wp:posOffset>
                </wp:positionV>
                <wp:extent cx="108839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25pt,-205.9499pt" to="499.95pt,-205.9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-2078355</wp:posOffset>
                </wp:positionV>
                <wp:extent cx="635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63.6499pt" to="404.15pt,-163.6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-2078355</wp:posOffset>
                </wp:positionV>
                <wp:extent cx="6413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63.6499pt" to="505pt,-163.6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-1933575</wp:posOffset>
                </wp:positionV>
                <wp:extent cx="635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52.2499pt" to="404.15pt,-152.2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-1933575</wp:posOffset>
                </wp:positionV>
                <wp:extent cx="6413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52.2499pt" to="505pt,-152.2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-594995</wp:posOffset>
                </wp:positionV>
                <wp:extent cx="635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46.8499pt" to="404.15pt,-46.8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-594995</wp:posOffset>
                </wp:positionV>
                <wp:extent cx="6413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46.8499pt" to="505pt,-46.8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-449580</wp:posOffset>
                </wp:positionV>
                <wp:extent cx="635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35.3999pt" to="404.15pt,-35.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-449580</wp:posOffset>
                </wp:positionV>
                <wp:extent cx="6413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35.3999pt" to="505pt,-35.3999pt" o:allowincell="f" strokecolor="#FFFFFF" strokeweight="0.9882pt"/>
            </w:pict>
          </mc:Fallback>
        </mc:AlternateContent>
      </w:r>
    </w:p>
    <w:p>
      <w:pPr>
        <w:jc w:val="center"/>
        <w:ind w:right="20"/>
        <w:spacing w:after="0" w:line="238"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140"/>
          </w:cols>
          <w:pgMar w:left="1060" w:top="1078" w:right="104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140"/>
          </w:cols>
          <w:pgMar w:left="1060" w:top="1078" w:right="1040" w:bottom="156"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Kairos Pharma, Ltd.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for share amounts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Total operating expenses .............................................................................................</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Loss from operations ...................................................................................................</w:t>
            </w:r>
          </w:p>
        </w:tc>
        <w:tc>
          <w:tcPr>
            <w:tcW w:w="38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415"/>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Interest expense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Debt discount amortization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Financing costs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Gain on settlement of accounts payable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Total other income (expenses)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NET LOSS ..................................................................................................................</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BASIC AND DILUTED LOSS PER COMMON SHARE.........................................</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2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DILUTED ...................................................................................................................</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18,427,787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11,356,451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6336665</wp:posOffset>
                </wp:positionH>
                <wp:positionV relativeFrom="paragraph">
                  <wp:posOffset>-3503295</wp:posOffset>
                </wp:positionV>
                <wp:extent cx="6413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275.8499pt" to="504pt,-275.8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-3357880</wp:posOffset>
                </wp:positionV>
                <wp:extent cx="635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264.3999pt" to="403.15pt,-264.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-3357880</wp:posOffset>
                </wp:positionV>
                <wp:extent cx="6413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264.3999pt" to="504pt,-264.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-3080385</wp:posOffset>
                </wp:positionV>
                <wp:extent cx="635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242.5499pt" to="403.15pt,-24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-3080385</wp:posOffset>
                </wp:positionV>
                <wp:extent cx="6413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242.5499pt" to="504pt,-24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-2537460</wp:posOffset>
                </wp:positionV>
                <wp:extent cx="635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99.7999pt" to="403.15pt,-199.7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-2537460</wp:posOffset>
                </wp:positionV>
                <wp:extent cx="6413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99.7999pt" to="504pt,-199.7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-2392680</wp:posOffset>
                </wp:positionV>
                <wp:extent cx="635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88.3999pt" to="403.15pt,-188.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-2392680</wp:posOffset>
                </wp:positionV>
                <wp:extent cx="6413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88.3999pt" to="504pt,-188.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-2114550</wp:posOffset>
                </wp:positionV>
                <wp:extent cx="635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66.4999pt" to="403.15pt,-166.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-2114550</wp:posOffset>
                </wp:positionV>
                <wp:extent cx="6413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66.4999pt" to="504pt,-166.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-1174115</wp:posOffset>
                </wp:positionV>
                <wp:extent cx="635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92.4499pt" to="403.15pt,-92.4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-1174115</wp:posOffset>
                </wp:positionV>
                <wp:extent cx="6413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92.4499pt" to="504pt,-92.4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-1028700</wp:posOffset>
                </wp:positionV>
                <wp:extent cx="635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81pt" to="403.15pt,-81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-1028700</wp:posOffset>
                </wp:positionV>
                <wp:extent cx="6413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81pt" to="504pt,-81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-727075</wp:posOffset>
                </wp:positionV>
                <wp:extent cx="108839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57.2499pt" to="398.15pt,-57.2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-727075</wp:posOffset>
                </wp:positionV>
                <wp:extent cx="108839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57.2499pt" to="498.95pt,-57.2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-429260</wp:posOffset>
                </wp:positionV>
                <wp:extent cx="108839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33.7999pt" to="398.15pt,-33.7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-429260</wp:posOffset>
                </wp:positionV>
                <wp:extent cx="108839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33.7999pt" to="498.95pt,-33.7999pt" o:allowincell="f" strokecolor="#FFFFFF" strokeweight="0.1411pt"/>
            </w:pict>
          </mc:Fallback>
        </mc:AlternateConten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080"/>
          </w:cols>
          <w:pgMar w:left="1080" w:top="1078" w:right="1080" w:bottom="156" w:gutter="0" w:footer="0" w:header="0"/>
          <w:type w:val="continuous"/>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Kairos Pharma, Ltd.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 (Deficit)</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thousands,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Paid-</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December 31, 2023 </w:t>
            </w: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24"/>
                <w:szCs w:val="24"/>
                <w:color w:val="auto"/>
              </w:rPr>
            </w:pP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(2,078)</w:t>
            </w:r>
          </w:p>
        </w:tc>
        <w:tc>
          <w:tcPr>
            <w:tcW w:w="40" w:type="dxa"/>
            <w:vAlign w:val="bottom"/>
          </w:tcPr>
          <w:p>
            <w:pPr>
              <w:spacing w:after="0"/>
              <w:rPr>
                <w:sz w:val="24"/>
                <w:szCs w:val="24"/>
                <w:color w:val="auto"/>
              </w:rPr>
            </w:pPr>
          </w:p>
        </w:tc>
      </w:tr>
      <w:tr>
        <w:trPr>
          <w:trHeight w:val="41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upon the closing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initial public offering, net of offering costs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upon conversion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 payable and accrued interest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upon conversion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upon conversion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for deferred offering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warrants issued in connection with</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 payable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vested restricted stock units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68,341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for the year ended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(2,603)</w:t>
            </w:r>
          </w:p>
        </w:tc>
        <w:tc>
          <w:tcPr>
            <w:tcW w:w="40" w:type="dxa"/>
            <w:vAlign w:val="bottom"/>
          </w:tcPr>
          <w:p>
            <w:pPr>
              <w:spacing w:after="0"/>
              <w:rPr>
                <w:sz w:val="24"/>
                <w:szCs w:val="24"/>
                <w:color w:val="auto"/>
              </w:rPr>
            </w:pPr>
          </w:p>
        </w:tc>
      </w:tr>
      <w:tr>
        <w:trPr>
          <w:trHeight w:val="21"/>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December 31, 2024 </w:t>
            </w: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13,736,597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14</w:t>
            </w:r>
          </w:p>
        </w:tc>
        <w:tc>
          <w:tcPr>
            <w:tcW w:w="20" w:type="dxa"/>
            <w:vAlign w:val="bottom"/>
          </w:tcPr>
          <w:p>
            <w:pPr>
              <w:spacing w:after="0"/>
              <w:rPr>
                <w:sz w:val="24"/>
                <w:szCs w:val="24"/>
                <w:color w:val="auto"/>
              </w:rPr>
            </w:pP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shares and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pre-funded warrants, net of offering costs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common shares issued for deferred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offering costs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shares issued for cash through equity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 of credit, net of expenses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recorded as a</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advance....................................................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vested restricted stock units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through cashless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warrants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for the year ended December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c>
          <w:tcPr>
            <w:tcW w:w="40" w:type="dxa"/>
            <w:vAlign w:val="bottom"/>
          </w:tcPr>
          <w:p>
            <w:pPr>
              <w:spacing w:after="0"/>
              <w:rPr>
                <w:sz w:val="24"/>
                <w:szCs w:val="24"/>
                <w:color w:val="auto"/>
              </w:rPr>
            </w:pPr>
          </w:p>
        </w:tc>
      </w:tr>
      <w:tr>
        <w:trPr>
          <w:trHeight w:val="21"/>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December 31, 2025 </w:t>
            </w: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20,821,353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21</w:t>
            </w:r>
          </w:p>
        </w:tc>
        <w:tc>
          <w:tcPr>
            <w:tcW w:w="20" w:type="dxa"/>
            <w:vAlign w:val="bottom"/>
          </w:tcPr>
          <w:p>
            <w:pPr>
              <w:spacing w:after="0"/>
              <w:rPr>
                <w:sz w:val="24"/>
                <w:szCs w:val="24"/>
                <w:color w:val="auto"/>
              </w:rPr>
            </w:pP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(14,262)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4705985</wp:posOffset>
                </wp:positionH>
                <wp:positionV relativeFrom="paragraph">
                  <wp:posOffset>-6439535</wp:posOffset>
                </wp:positionV>
                <wp:extent cx="18478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5pt,-507.0499pt" to="385.1pt,-507.0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3239135</wp:posOffset>
                </wp:positionH>
                <wp:positionV relativeFrom="paragraph">
                  <wp:posOffset>-162560</wp:posOffset>
                </wp:positionV>
                <wp:extent cx="57086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865" cy="4763"/>
                        </a:xfrm>
                        <a:prstGeom prst="line">
                          <a:avLst/>
                        </a:prstGeom>
                        <a:solidFill>
                          <a:srgbClr val="FFFFFF"/>
                        </a:solidFill>
                        <a:ln w="31376">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05pt,-12.7999pt" to="300pt,-12.7999pt" o:allowincell="f" strokecolor="#FFFFFF" strokeweight="2.4706pt"/>
            </w:pict>
          </mc:Fallback>
        </mc:AlternateContent>
      </w:r>
    </w:p>
    <w:p>
      <w:pPr>
        <w:jc w:val="center"/>
        <w:ind w:right="20"/>
        <w:spacing w:after="0" w:line="238"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140"/>
          </w:cols>
          <w:pgMar w:left="1060" w:top="1078" w:right="104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140"/>
          </w:cols>
          <w:pgMar w:left="1060" w:top="1078" w:right="1040" w:bottom="156"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Kairos Pharma, Ltd.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334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loss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c>
          <w:tcPr>
            <w:tcW w:w="20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418"/>
        </w:trPr>
        <w:tc>
          <w:tcPr>
            <w:tcW w:w="6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Amortization of intangible asset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Amortization of vendor advances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Amortization of debt discount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Fair value of vested restricted stock units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Fair value of common shares issued in connection with the conversion of</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accounts payable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Fair value of warrants issued in connection with convertible notes payable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Gain on settlement of accounts payable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9"/>
        </w:trPr>
        <w:tc>
          <w:tcPr>
            <w:tcW w:w="6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Vendor advances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rPr>
              <w:t>Prepaid expenses and other current assets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Accounts payable and accrued expenses ................................................................</w:t>
            </w:r>
          </w:p>
        </w:tc>
        <w:tc>
          <w:tcPr>
            <w:tcW w:w="1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xml:space="preserve">Net cash used in operating activities </w:t>
            </w:r>
            <w:r>
              <w:rPr>
                <w:rFonts w:ascii="Times New Roman" w:cs="Times New Roman" w:eastAsia="Times New Roman" w:hAnsi="Times New Roman"/>
                <w:sz w:val="18"/>
                <w:szCs w:val="18"/>
                <w:color w:val="auto"/>
                <w:w w:val="99"/>
              </w:rPr>
              <w:t>........................................................................</w:t>
            </w:r>
          </w:p>
        </w:tc>
        <w:tc>
          <w:tcPr>
            <w:tcW w:w="1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397"/>
        </w:trPr>
        <w:tc>
          <w:tcPr>
            <w:tcW w:w="2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Cash Flows from Financing Activities</w:t>
            </w:r>
          </w:p>
        </w:tc>
        <w:tc>
          <w:tcPr>
            <w:tcW w:w="3360" w:type="dxa"/>
            <w:vAlign w:val="bottom"/>
            <w:gridSpan w:val="4"/>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Proceeds from the sale and exercise of prefunded warrants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w w:val="99"/>
              </w:rPr>
              <w:t>Proceeds from the equity line of credit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from common stock issued for cash in connection with the closing of the</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w w:val="99"/>
              </w:rPr>
              <w:t>initial public offering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w w:val="99"/>
              </w:rPr>
              <w:t>Proceeds from notes payable - officers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w w:val="99"/>
              </w:rPr>
              <w:t>Repayment of notes payable - officers ........................................................................</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2"/>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Payment of deferred offering costs .............................................................................</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9"/>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xml:space="preserve">Net cash provided by financing activities </w:t>
            </w:r>
            <w:r>
              <w:rPr>
                <w:rFonts w:ascii="Times New Roman" w:cs="Times New Roman" w:eastAsia="Times New Roman" w:hAnsi="Times New Roman"/>
                <w:sz w:val="18"/>
                <w:szCs w:val="18"/>
                <w:color w:val="auto"/>
                <w:w w:val="99"/>
              </w:rPr>
              <w:t>................................................................</w:t>
            </w:r>
          </w:p>
        </w:tc>
        <w:tc>
          <w:tcPr>
            <w:tcW w:w="1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w w:val="99"/>
              </w:rPr>
              <w:t>Net increase in cash and cash equivalents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7400" w:type="dxa"/>
            <w:vAlign w:val="bottom"/>
            <w:gridSpan w:val="7"/>
          </w:tcPr>
          <w:p>
            <w:pPr>
              <w:jc w:val="right"/>
              <w:ind w:right="1294"/>
              <w:spacing w:after="0"/>
              <w:rPr>
                <w:sz w:val="20"/>
                <w:szCs w:val="20"/>
                <w:color w:val="auto"/>
              </w:rPr>
            </w:pPr>
            <w:r>
              <w:rPr>
                <w:rFonts w:ascii="Times New Roman" w:cs="Times New Roman" w:eastAsia="Times New Roman" w:hAnsi="Times New Roman"/>
                <w:sz w:val="18"/>
                <w:szCs w:val="18"/>
                <w:color w:val="auto"/>
                <w:w w:val="99"/>
              </w:rPr>
              <w:t>Cash and cash equivalents, beginning of period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Cash and cash equivalents, end of period ...................................................................</w:t>
            </w:r>
          </w:p>
        </w:tc>
        <w:tc>
          <w:tcPr>
            <w:tcW w:w="114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Supplemental cash flows disclosures:</w:t>
            </w:r>
          </w:p>
        </w:tc>
        <w:tc>
          <w:tcPr>
            <w:tcW w:w="3420" w:type="dxa"/>
            <w:vAlign w:val="bottom"/>
            <w:gridSpan w:val="5"/>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840" w:type="dxa"/>
            <w:vAlign w:val="bottom"/>
            <w:tcBorders>
              <w:bottom w:val="single" w:sz="8" w:color="auto"/>
            </w:tcBorders>
            <w:vMerge w:val="continue"/>
          </w:tcPr>
          <w:p>
            <w:pPr>
              <w:spacing w:after="0"/>
              <w:rPr>
                <w:sz w:val="24"/>
                <w:szCs w:val="24"/>
                <w:color w:val="auto"/>
              </w:rPr>
            </w:pPr>
          </w:p>
        </w:tc>
        <w:tc>
          <w:tcPr>
            <w:tcW w:w="3420" w:type="dxa"/>
            <w:vAlign w:val="bottom"/>
            <w:gridSpan w:val="5"/>
            <w:vMerge w:val="continue"/>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Interest paid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6"/>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w w:val="99"/>
              </w:rPr>
              <w:t>Taxes paid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9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financing disclosures: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260" w:type="dxa"/>
            <w:vAlign w:val="bottom"/>
            <w:gridSpan w:val="6"/>
            <w:vMerge w:val="continue"/>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gridSpan w:val="4"/>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Common shares issued for deferred offering costs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60" w:type="dxa"/>
            <w:vAlign w:val="bottom"/>
            <w:gridSpan w:val="6"/>
          </w:tcPr>
          <w:p>
            <w:pPr>
              <w:jc w:val="right"/>
              <w:ind w:right="240"/>
              <w:spacing w:after="0" w:line="197" w:lineRule="exact"/>
              <w:rPr>
                <w:sz w:val="20"/>
                <w:szCs w:val="20"/>
                <w:color w:val="auto"/>
              </w:rPr>
            </w:pPr>
            <w:r>
              <w:rPr>
                <w:rFonts w:ascii="Times New Roman" w:cs="Times New Roman" w:eastAsia="Times New Roman" w:hAnsi="Times New Roman"/>
                <w:sz w:val="18"/>
                <w:szCs w:val="18"/>
                <w:color w:val="auto"/>
                <w:w w:val="99"/>
              </w:rPr>
              <w:t>Common shares issued for vendor advances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9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6"/>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w w:val="99"/>
              </w:rPr>
              <w:t>Reclassification of deferred offering costs to shareholders’ equity ............................</w:t>
            </w:r>
          </w:p>
        </w:tc>
        <w:tc>
          <w:tcPr>
            <w:tcW w:w="11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right"/>
              <w:ind w:right="9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Conversion of convertible notes payable and accrued interest to shareholders’</w:t>
            </w: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6"/>
            <w:vMerge w:val="continue"/>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w w:val="99"/>
              </w:rPr>
              <w:t>equity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gridSpan w:val="6"/>
          </w:tcPr>
          <w:p>
            <w:pPr>
              <w:jc w:val="right"/>
              <w:ind w:right="240"/>
              <w:spacing w:after="0" w:line="197" w:lineRule="exact"/>
              <w:rPr>
                <w:sz w:val="20"/>
                <w:szCs w:val="20"/>
                <w:color w:val="auto"/>
              </w:rPr>
            </w:pPr>
            <w:r>
              <w:rPr>
                <w:rFonts w:ascii="Times New Roman" w:cs="Times New Roman" w:eastAsia="Times New Roman" w:hAnsi="Times New Roman"/>
                <w:sz w:val="18"/>
                <w:szCs w:val="18"/>
                <w:color w:val="auto"/>
                <w:w w:val="99"/>
              </w:rPr>
              <w:t>Conversion of accounts payable to shareholders’ equity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9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60" w:type="dxa"/>
            <w:vAlign w:val="bottom"/>
            <w:gridSpan w:val="6"/>
          </w:tcPr>
          <w:p>
            <w:pPr>
              <w:jc w:val="right"/>
              <w:ind w:right="240"/>
              <w:spacing w:after="0" w:line="197" w:lineRule="exact"/>
              <w:rPr>
                <w:sz w:val="20"/>
                <w:szCs w:val="20"/>
                <w:color w:val="auto"/>
              </w:rPr>
            </w:pPr>
            <w:r>
              <w:rPr>
                <w:rFonts w:ascii="Times New Roman" w:cs="Times New Roman" w:eastAsia="Times New Roman" w:hAnsi="Times New Roman"/>
                <w:sz w:val="18"/>
                <w:szCs w:val="18"/>
                <w:color w:val="auto"/>
                <w:w w:val="99"/>
              </w:rPr>
              <w:t>Conversion of amounts due to related parties to shareholders’ equity ........................</w:t>
            </w:r>
          </w:p>
        </w:tc>
        <w:tc>
          <w:tcPr>
            <w:tcW w:w="11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right"/>
              <w:ind w:right="9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gridSpan w:val="6"/>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w w:val="99"/>
              </w:rPr>
              <w:t>Issuance of convertible notes payable recorded as debt discount ...............................</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6336665</wp:posOffset>
                </wp:positionH>
                <wp:positionV relativeFrom="paragraph">
                  <wp:posOffset>-6628765</wp:posOffset>
                </wp:positionV>
                <wp:extent cx="6413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521.9499pt" to="504pt,-521.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-6483350</wp:posOffset>
                </wp:positionV>
                <wp:extent cx="635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510.4999pt" to="403.15pt,-510.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-6483350</wp:posOffset>
                </wp:positionV>
                <wp:extent cx="6413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510.4999pt" to="504pt,-510.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-4350385</wp:posOffset>
                </wp:positionV>
                <wp:extent cx="635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342.5499pt" to="403.15pt,-34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-4350385</wp:posOffset>
                </wp:positionV>
                <wp:extent cx="6413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342.5499pt" to="504pt,-34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-4204970</wp:posOffset>
                </wp:positionV>
                <wp:extent cx="635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331.0999pt" to="403.15pt,-331.0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-4204970</wp:posOffset>
                </wp:positionV>
                <wp:extent cx="6413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331.0999pt" to="504pt,-331.0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-2999740</wp:posOffset>
                </wp:positionV>
                <wp:extent cx="635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236.1999pt" to="403.15pt,-236.1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-2999740</wp:posOffset>
                </wp:positionV>
                <wp:extent cx="6413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236.1999pt" to="504pt,-236.1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-2854325</wp:posOffset>
                </wp:positionV>
                <wp:extent cx="635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224.7499pt" to="403.15pt,-224.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-2854325</wp:posOffset>
                </wp:positionV>
                <wp:extent cx="6413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224.7499pt" to="504pt,-224.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-2310765</wp:posOffset>
                </wp:positionV>
                <wp:extent cx="635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81.9499pt" to="403.15pt,-181.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-2310765</wp:posOffset>
                </wp:positionV>
                <wp:extent cx="6413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81.9499pt" to="504pt,-181.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-1711960</wp:posOffset>
                </wp:positionV>
                <wp:extent cx="108839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134.7999pt" to="398.15pt,-134.7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-1711960</wp:posOffset>
                </wp:positionV>
                <wp:extent cx="108839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134.7999pt" to="498.95pt,-134.7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-1548130</wp:posOffset>
                </wp:positionV>
                <wp:extent cx="108839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121.8999pt" to="398.15pt,-121.8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-1548130</wp:posOffset>
                </wp:positionV>
                <wp:extent cx="108839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121.8999pt" to="498.95pt,-121.8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-1118235</wp:posOffset>
                </wp:positionV>
                <wp:extent cx="108839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88.0499pt" to="398.15pt,-88.0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-1118235</wp:posOffset>
                </wp:positionV>
                <wp:extent cx="108839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88.0499pt" to="498.95pt,-88.0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-954405</wp:posOffset>
                </wp:positionV>
                <wp:extent cx="108839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75.1499pt" to="398.15pt,-75.1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-954405</wp:posOffset>
                </wp:positionV>
                <wp:extent cx="108839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75.1499pt" to="498.95pt,-75.1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-789305</wp:posOffset>
                </wp:positionV>
                <wp:extent cx="108839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62.1499pt" to="398.15pt,-62.1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-789305</wp:posOffset>
                </wp:positionV>
                <wp:extent cx="108839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62.1499pt" to="498.95pt,-62.1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-492760</wp:posOffset>
                </wp:positionV>
                <wp:extent cx="108839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38.7999pt" to="398.15pt,-38.7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-492760</wp:posOffset>
                </wp:positionV>
                <wp:extent cx="108839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38.7999pt" to="498.95pt,-38.7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-328930</wp:posOffset>
                </wp:positionV>
                <wp:extent cx="108839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25.8999pt" to="398.15pt,-25.8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-328930</wp:posOffset>
                </wp:positionV>
                <wp:extent cx="108839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25.8999pt" to="498.95pt,-25.89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3968115</wp:posOffset>
                </wp:positionH>
                <wp:positionV relativeFrom="paragraph">
                  <wp:posOffset>-164465</wp:posOffset>
                </wp:positionV>
                <wp:extent cx="108839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5pt,-12.9499pt" to="398.15pt,-12.9499pt" o:allowincell="f" strokecolor="#FFFFFF" strokeweight="0.1411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-164465</wp:posOffset>
                </wp:positionV>
                <wp:extent cx="108839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8390" cy="4763"/>
                        </a:xfrm>
                        <a:prstGeom prst="line">
                          <a:avLst/>
                        </a:prstGeom>
                        <a:solidFill>
                          <a:srgbClr val="FFFFFF"/>
                        </a:solidFill>
                        <a:ln w="1792">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12.9499pt" to="498.95pt,-12.9499pt" o:allowincell="f" strokecolor="#FFFFFF" strokeweight="0.1411pt"/>
            </w:pict>
          </mc:Fallback>
        </mc:AlternateConten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080"/>
          </w:cols>
          <w:pgMar w:left="1080" w:top="1078" w:right="1080" w:bottom="156"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KAIROS PHARMA, LTD.</w:t>
      </w:r>
    </w:p>
    <w:p>
      <w:pPr>
        <w:spacing w:after="0" w:line="11"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9"/>
          <w:szCs w:val="19"/>
          <w:b w:val="1"/>
          <w:bCs w:val="1"/>
          <w:color w:val="auto"/>
        </w:rPr>
        <w:t>NOTES TO CONSOLIDATED FINANCIAL STATEMENTS FOR THE YEARS ENDED DECEMBER 31, 2025 AND 2024 (In thousands, except for share amounts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BASIS OF PRESENTATION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 and Operations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Kairos Pharma, Ltd. (the “Company” or “Kairos”) was incorporated on June 17, 2013 under the laws of the state of California as NanoGB13, Inc. The Company changed its name to Kairos Pharma, Ltd. on July 15, 2016 and subsequently converted into a Delaware corporation under the same name, Kairos Pharma, Ltd., on May 10, 2023. The Company is an early-stage biotechnology company focused on the development of immunotherapy and cell therapy treatments for oncology.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a going concern basis, which contemplates the realization of assets and the settlement of liabilities and commitments in the normal course of business. As reflected in the accompanying consolidated financial statements, the Company has experienced recurring losses from operations since inception and incurred a net loss of $5,447 and used cash in operations of $3,441 during the year ended December 31, 2025.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of December 31, 2025, the Company had cash and short-term investments of $4,491.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Annual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Form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spacing w:after="0" w:line="182" w:lineRule="exact"/>
        <w:rPr>
          <w:sz w:val="20"/>
          <w:szCs w:val="20"/>
          <w:color w:val="auto"/>
        </w:rPr>
      </w:pPr>
    </w:p>
    <w:p>
      <w:pPr>
        <w:ind w:right="3980"/>
        <w:spacing w:after="0" w:line="426" w:lineRule="auto"/>
        <w:rPr>
          <w:sz w:val="20"/>
          <w:szCs w:val="20"/>
          <w:color w:val="auto"/>
        </w:rPr>
      </w:pPr>
      <w:r>
        <w:rPr>
          <w:rFonts w:ascii="Times New Roman" w:cs="Times New Roman" w:eastAsia="Times New Roman" w:hAnsi="Times New Roman"/>
          <w:sz w:val="20"/>
          <w:szCs w:val="20"/>
          <w:b w:val="1"/>
          <w:bCs w:val="1"/>
          <w:color w:val="auto"/>
        </w:rPr>
        <w:t>NOTE 2 - SUMMARY OF SIGNIFICANT ACCOUNTING POLICIES Basis of Consolidation</w:t>
      </w:r>
    </w:p>
    <w:p>
      <w:pPr>
        <w:spacing w:after="0" w:line="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accompanying consolidated financial statements and accompanying notes have been prepared in accordance with accounting principles generally accepted in the United States of America (“U.S. GAAP”). The accompanying consolidated financial statements include the accounts of the Company and its former wholly-owned subsidiary, Enviro Therapeutics, Inc. (“Enviro”) which was dissolved in October 2025. All intercompany balances and transactions have been eliminated in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preparation of the financial statements in conformity with accounting principles generally accepted in the U.S. requires management to make estimates and assumptions that affect the reported amounts of assets and liabilities, disclosure of contingent assets and liabilities at the financial statement date and reported amounts of revenue and expenses during the reporting period. Significant estimates are used in the valuation of accruals for potential liabilities, amortization of vendor advances and deferred offering costs, valuations of stock-based compensation, the realization of deferred tax assets, and impairment analysis and useful life for intangible assets among others. Actual results could differ from these estimates.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080"/>
          </w:cols>
          <w:pgMar w:left="1080" w:top="1078" w:right="1080" w:bottom="156"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 of credit risk, consist primarily of cash deposits.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its inception.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Equivalents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on the date of purchase to be cash equivalents. The Company’s cash equivalents consisted of $4,326 in money market funds as of December 31, 2025. There were no cash equivalents as of December 31, 2024. The underlying securities in the money market funds held by the Company are all government backed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intangible assets are stated at fair value as of the date acquired, less accumulated amortization. Amortization is calculated based on the estimated useful lives of the assets, which were determined to be five years, using the straight-line method. The intangible asset consists of a licensing agreement that the Company acquired through its acquisition of Enviro during the year ended December 31, 2021, with an acquisition cost of $800. Amortization expense relating to the intangible asset during the years ended December 31, 2025 and 2024 was $160, with an unamortized balance of $62 and $222 at December 31, 2025 and 2024,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The Company applies the provisions of ASC Topic 360, </w:t>
      </w:r>
      <w:r>
        <w:rPr>
          <w:rFonts w:ascii="Times New Roman" w:cs="Times New Roman" w:eastAsia="Times New Roman" w:hAnsi="Times New Roman"/>
          <w:sz w:val="19"/>
          <w:szCs w:val="19"/>
          <w:i w:val="1"/>
          <w:iCs w:val="1"/>
          <w:color w:val="auto"/>
        </w:rPr>
        <w:t>Property, Plant, and Equipment</w:t>
      </w:r>
      <w:r>
        <w:rPr>
          <w:rFonts w:ascii="Times New Roman" w:cs="Times New Roman" w:eastAsia="Times New Roman" w:hAnsi="Times New Roman"/>
          <w:sz w:val="19"/>
          <w:szCs w:val="19"/>
          <w:color w:val="auto"/>
        </w:rPr>
        <w:t>, which addresses financial accounting and reporting for the impairment of long-lived assets. A long-lived asset that is held and used should be tested for recoverability whenever events or changes in circumstances indicate that the carrying amount of the asset group may not be recoverable. If the estimated undiscounted future cash flows are less than the carrying value, an impairment determination is required. In that event, a loss is recognized based on the amount by which the carrying amount exceeds the fair value of the long-lived assets. No impairment was recorded relating to the Company’s intangible asset during the years ended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(Loss) Per Share</w:t>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Basic loss per share is computed by dividing net loss applicable to common stockholders by the weighted average number of outstanding common shares during the period. Shares of restricted stock are included in the basic weighted average number of common shares outstanding from the time they vest.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For the years ended December 31, 2025 and 2024, the basic and diluted shares outstanding were the same, as potentially dilutive shares were considered anti-dilutive. The potentially dilutive securities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gridSpan w:val="2"/>
          </w:tcPr>
          <w:p>
            <w:pPr>
              <w:spacing w:after="0"/>
              <w:rPr>
                <w:sz w:val="18"/>
                <w:szCs w:val="18"/>
                <w:color w:val="auto"/>
              </w:rPr>
            </w:pPr>
          </w:p>
        </w:tc>
        <w:tc>
          <w:tcPr>
            <w:tcW w:w="1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Pr>
          <w:p>
            <w:pPr>
              <w:spacing w:after="0"/>
              <w:rPr>
                <w:sz w:val="18"/>
                <w:szCs w:val="18"/>
                <w:color w:val="auto"/>
              </w:rPr>
            </w:pPr>
          </w:p>
        </w:tc>
      </w:tr>
      <w:tr>
        <w:trPr>
          <w:trHeight w:val="20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common stock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4,281,038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278,188</w:t>
            </w:r>
          </w:p>
        </w:tc>
      </w:tr>
      <w:tr>
        <w:trPr>
          <w:trHeight w:val="211"/>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172,000</w:t>
            </w:r>
          </w:p>
        </w:tc>
      </w:tr>
      <w:tr>
        <w:trPr>
          <w:trHeight w:val="21"/>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5,053,643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450,188</w:t>
            </w: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3942080</wp:posOffset>
                </wp:positionH>
                <wp:positionV relativeFrom="paragraph">
                  <wp:posOffset>-15240</wp:posOffset>
                </wp:positionV>
                <wp:extent cx="20510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105" cy="4763"/>
                        </a:xfrm>
                        <a:prstGeom prst="line">
                          <a:avLst/>
                        </a:prstGeom>
                        <a:solidFill>
                          <a:srgbClr val="FFFFFF"/>
                        </a:solidFill>
                        <a:ln w="31376">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4pt,-1.1999pt" to="326.55pt,-1.1999pt" o:allowincell="f" strokecolor="#FFFFFF" strokeweight="2.4706pt"/>
            </w:pict>
          </mc:Fallback>
        </mc:AlternateConten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Offering Costs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delayed or abandoned, the deferred offering costs will be expensed immediately as a charge to operating expenses in the Company’s statement of operations. As of December 31, 2024, the Company incurred $1,377 of deferred offering costs related to the Company’s pending equity line of credit (“ELOC”) offering. During the year ended December 31, 2025, the Company issued common shares with a fair value of $328 related to the ELOC. The Company’s registration statement registering the ELOC was declared effective on April 24, 2025, and the Company will amortize these costs as cost of capital as funds are raised, based upon the Company’s estimate of the ultimate funds raised under the ELOC. During the year ended December 31, 2025, $614 of deferred offering costs were amortized as cost of capital, and as of December 31, 2025, total deferred offering costs were $1,091 related to the ELOC.</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080"/>
          </w:cols>
          <w:pgMar w:left="1080" w:top="1078" w:right="1080" w:bottom="156"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determines the fair value of its assets and liabilities based on the exchange price in U.S. dollars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uses a fair value hierarchy with three levels of inputs, of which the first two are considered observable and the last unobservable, to measure fair value:</w:t>
      </w:r>
    </w:p>
    <w:p>
      <w:pPr>
        <w:spacing w:after="0" w:line="194" w:lineRule="exact"/>
        <w:rPr>
          <w:sz w:val="20"/>
          <w:szCs w:val="20"/>
          <w:color w:val="auto"/>
        </w:rPr>
      </w:pPr>
    </w:p>
    <w:p>
      <w:pPr>
        <w:ind w:left="720" w:hanging="36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Quoted prices in active markets for identical assets or liabilities.</w:t>
      </w:r>
    </w:p>
    <w:p>
      <w:pPr>
        <w:spacing w:after="0" w:line="80" w:lineRule="exact"/>
        <w:rPr>
          <w:rFonts w:ascii="Times New Roman" w:cs="Times New Roman" w:eastAsia="Times New Roman" w:hAnsi="Times New Roman"/>
          <w:sz w:val="20"/>
          <w:szCs w:val="20"/>
          <w:color w:val="auto"/>
        </w:rPr>
      </w:pPr>
    </w:p>
    <w:p>
      <w:pPr>
        <w:jc w:val="both"/>
        <w:ind w:left="720" w:hanging="360"/>
        <w:spacing w:after="0" w:line="238"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Inputs, other than Level 1, that are observable, either directly or indirectly, such as quoted prices for similar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or liabilities; quoted prices in markets that are not active; or other inputs that are observable or can be corroborated by observable market data for substantially the full term of the assets or liabilities.</w:t>
      </w:r>
    </w:p>
    <w:p>
      <w:pPr>
        <w:spacing w:after="0" w:line="81" w:lineRule="exact"/>
        <w:rPr>
          <w:rFonts w:ascii="Times New Roman" w:cs="Times New Roman" w:eastAsia="Times New Roman" w:hAnsi="Times New Roman"/>
          <w:sz w:val="20"/>
          <w:szCs w:val="20"/>
          <w:color w:val="auto"/>
        </w:rPr>
      </w:pPr>
    </w:p>
    <w:p>
      <w:pPr>
        <w:ind w:left="720" w:hanging="360"/>
        <w:spacing w:after="0" w:line="236"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Unobservable inputs that are supported by little or no market activity and that are significant to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assets or liabilities.</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carrying amounts of financial instruments such as cash, and accounts payable and accrued liabilities, approximate the related fair values due to the short-term maturities of these instruments.</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Cash equivalents consisted of money market funds at December 31, 2025. Money market funds were valued by the Company using quoted prices in active markets for identical securities, which represent a Level 1 measurement within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Income tax expense is based on pretax financial accounting income. Deferred tax assets and liabilities are recognized for the expected tax consequences of temporary differences between the tax bases of assets and liabilities and their reported amounts. Valuation allowances are recorded to reduce deferred tax assets to the amount that will more likely than not be realized. The Company recorded a 100% valuation allowance against its deferred tax assets as of December 31, 2025 and 2024.</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percent likely of being realized upon settlement. The Company classifies the liability for unrecognized tax benefits as current to the extent that the Company anticipates payment (or receipt) of cash within one year. Interest and penalties related to uncertain tax positions are recognized in the provision for income taxes.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Patent Application Costs</w:t>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Although the Company believes that its patents and underlying technology have continuing value, the amount of future benefits to be derived from the patents is uncertain. Patent costs are therefore expensed as incurred and are included in general and administrative expenses on the accompanying consolidated Statements of Operations. Patent expenses were $79 and $134 during the years ended December 31,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Costs</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expenses its research and development costs as incurred. Research and developments costs for the years ended December 31, 2025 and 2024 were $2,135 and $414,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Contract Costs and Accruals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has entered into various research and development-related contracts with companies inside the United States. These agreements are generally cancellable, and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080"/>
          </w:cols>
          <w:pgMar w:left="1080" w:top="1078" w:right="1080" w:bottom="156"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measures all stock options, certain warrants and other stock-based awards granted based on the fair value of the award on the date of the grant and recognizes compensation expense for those awards over the requisite service period, which is generally the vesting period of the respective award. The Company has elected to recognize forfeitures as they occur. The reversal of compensation cost previously recognized for an award that is forfeited because of a failure to satisfy a service or performance condition is recognized in the period of the forfeiture. Generally, the Company issues stock options with only service-based vesting conditions and records the expense for these awards using the straight-line method over the requisite service period.</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statements of operations in the same manner in which the award recipient’s payroll costs are classified or in which the award recipients’ service payments are classified.</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was a private company until the completion of its IPO on September 17, 2024. Prior to the IPO, the Company estimated the fair value of common stock using an appropriate valuation methodology, in accordance with the framework of the American Institute of Certified Public Accountants’ Technical Practice Aid, Valuation of Privately-Held Company Equity Securities Issued as Compensation.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its common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or warrants at each valuation date, as applicable. Subsequent to September 17, 2024, the Company estimates the fair value of common stock based on its historical trading price at the date of grants.</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fair value of each stock option or warrant grant is estimated using the Black-Scholes option-pricing model. Until the completion of its IPO, the Company was a private company and lacked company-specific historical and implied volatility information. Therefore, it estimated its expected stock volatility based on the historical volatility of a publicly traded set of peer companies within the biotechnology industry with characteristics similar to the Company. The expected term of the Company’s stock options has been determined utilizing the “simplified” method for awards that qualify as “plain-vanilla” options or warrants. The expected term of stock options or warrants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Instruments</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and Advertising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and advertising expenses were not material for the years ended December 31, 2025 and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080"/>
          </w:cols>
          <w:pgMar w:left="1080" w:top="1078" w:right="1080" w:bottom="156" w:gutter="0" w:footer="0" w:header="0"/>
        </w:sectPr>
      </w:pPr>
    </w:p>
    <w:bookmarkStart w:id="110" w:name="page111"/>
    <w:bookmarkEnd w:id="110"/>
    <w:p>
      <w:pPr>
        <w:jc w:val="both"/>
        <w:spacing w:after="0" w:line="238" w:lineRule="auto"/>
        <w:rPr>
          <w:sz w:val="20"/>
          <w:szCs w:val="20"/>
          <w:color w:val="auto"/>
        </w:rPr>
      </w:pPr>
      <w:r>
        <w:rPr>
          <w:rFonts w:ascii="Times New Roman" w:cs="Times New Roman" w:eastAsia="Times New Roman" w:hAnsi="Times New Roman"/>
          <w:sz w:val="20"/>
          <w:szCs w:val="20"/>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VENDOR AGREEMENTS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Vendor Advances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has entered into various contracts with service providers pursuant to which the Company pays the vendor an advance at the beginning of the contractual period. These vendor advances could be paid by the Company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2024, advances to vendors totaled $3,115, with $2,615 being paid in cash and $500 being paid with shares of the Company’s common stock. Amortization expense relating to the vendor advances during the year ended December 31, 2024 was $256, with an unamortized balance of $2,859 as of December 31, 2024. During the year ended December 31, 2025, an additional advance to a vendor totaled $156, with the advance being paid with shares of the Company’s common stock, and amortization expense relating to the vendor advances was $2,170, with an unamortized balance of $845 as of December 31,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Vendor advances consisted of the following at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December 31, 2025</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Prevail Infoworks (a) .................................................................</w:t>
            </w:r>
          </w:p>
        </w:tc>
        <w:tc>
          <w:tcPr>
            <w:tcW w:w="58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8"/>
                <w:szCs w:val="18"/>
                <w:color w:val="auto"/>
              </w:rPr>
            </w:pPr>
          </w:p>
        </w:tc>
      </w:t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PreCheck Health Services (b) ...................................................</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CEO.CA Technologies (c) ........................................................</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Belair Capital Advisors (d) .......................................................</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8"/>
                <w:szCs w:val="18"/>
                <w:color w:val="auto"/>
              </w:rPr>
            </w:pPr>
          </w:p>
        </w:tc>
      </w:tr>
      <w:tr>
        <w:trPr>
          <w:trHeight w:val="21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 Current Capital (e) ..........................................................</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8"/>
                <w:szCs w:val="18"/>
                <w:color w:val="auto"/>
              </w:rPr>
            </w:pPr>
          </w:p>
        </w:tc>
      </w:tr>
      <w:tr>
        <w:trPr>
          <w:trHeight w:val="20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Pr>
          <w:p>
            <w:pPr>
              <w:spacing w:after="0"/>
              <w:rPr>
                <w:sz w:val="17"/>
                <w:szCs w:val="17"/>
                <w:color w:val="auto"/>
              </w:rPr>
            </w:pPr>
          </w:p>
        </w:tc>
      </w:tr>
      <w:tr>
        <w:trPr>
          <w:trHeight w:val="21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 ................................................</w:t>
            </w:r>
          </w:p>
        </w:tc>
        <w:tc>
          <w:tcPr>
            <w:tcW w:w="5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 advances, net ................................................................</w:t>
            </w:r>
          </w:p>
        </w:tc>
        <w:tc>
          <w:tcPr>
            <w:tcW w:w="58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3943350</wp:posOffset>
                </wp:positionH>
                <wp:positionV relativeFrom="paragraph">
                  <wp:posOffset>-1123950</wp:posOffset>
                </wp:positionV>
                <wp:extent cx="14986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5pt,-88.4999pt" to="322.3pt,-88.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3943350</wp:posOffset>
                </wp:positionH>
                <wp:positionV relativeFrom="paragraph">
                  <wp:posOffset>-447675</wp:posOffset>
                </wp:positionV>
                <wp:extent cx="14986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5pt,-35.2499pt" to="322.3pt,-35.2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3943350</wp:posOffset>
                </wp:positionH>
                <wp:positionV relativeFrom="paragraph">
                  <wp:posOffset>-170180</wp:posOffset>
                </wp:positionV>
                <wp:extent cx="14986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5pt,-13.3999pt" to="322.3pt,-13.3999pt" o:allowincell="f" strokecolor="#FFFFFF" strokeweight="0.9882pt"/>
            </w:pict>
          </mc:Fallback>
        </mc:AlternateConten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remaining unamortized balance of $845 as of December 31, 2025, will be fully amortized during the year ending December 31, 2026.</w:t>
      </w:r>
    </w:p>
    <w:p>
      <w:pPr>
        <w:spacing w:after="0" w:line="236"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i w:val="1"/>
          <w:iCs w:val="1"/>
          <w:u w:val="single" w:color="auto"/>
          <w:color w:val="auto"/>
        </w:rPr>
        <w:t>(a)</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Kairos Agreement with Prevail Infoworks, Inc.</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August 1, 2024, the Company entered into a master service and technology agreement with Prevail Infoworks, Inc. (“Prevail”), pursuant to which Prevail agreed to provide certain clinical research services to the Company. As part of the agreement, the Company was required to make an advance payment of $900 to Prevail before commencement of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advance payment to Prevail in October 2024 and it is included in vendor advances on the accompanying Balance Sheet as of December 31, 2025 and 2024. The unamortized balance of the advance was $500 as of December 31, 2025.</w:t>
      </w:r>
    </w:p>
    <w:p>
      <w:pPr>
        <w:spacing w:after="0" w:line="240"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i w:val="1"/>
          <w:iCs w:val="1"/>
          <w:u w:val="single" w:color="auto"/>
          <w:color w:val="auto"/>
        </w:rPr>
        <w:t>(b)</w:t>
        <w:tab/>
        <w:t>Kairos Agreement with PreCheck Health Services, Inc.</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20, 2024, the Company entered into a bioassay services agreement (the “Bioassay Services Agreement”) with PreCheck Health Services, Inc., a Florida-based corporation (“PreCheck”). Pursuant to the Bioassay Services Agreement, PreCheck will provide certain biomarker screening services for the Company’s ongoing carotuximab (ENV105) clinical trials in order to assist the Company in identifying lung and prostate cancer patients suitable to the Company’s ongoing Phase 1 clinical trials for lung cancer patients and Phase 2 clinical trials for patients with castrate resistant prostate cancer. In exchange for PreCheck’s services, and according to the terms of the Bioassay Services Agreement, the Company paid $900 to PreCheck as an advance for the future laboratory services to be performed. The payment of $900 is included in vendor advances on the accompanying Balance Sheet as of December 31, 2025 and 2024. The term of the agreement is one year from the effective date. The advance was fully amortized as of December 31, 2025.</w:t>
      </w:r>
    </w:p>
    <w:p>
      <w:pPr>
        <w:sectPr>
          <w:pgSz w:w="12240" w:h="15840" w:orient="portrait"/>
          <w:cols w:equalWidth="0" w:num="1">
            <w:col w:w="10080"/>
          </w:cols>
          <w:pgMar w:left="1080" w:top="1088" w:right="108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080"/>
          </w:cols>
          <w:pgMar w:left="1080" w:top="1088" w:right="1080" w:bottom="158" w:gutter="0" w:footer="0" w:header="0"/>
          <w:type w:val="continuous"/>
        </w:sectPr>
      </w:pPr>
    </w:p>
    <w:bookmarkStart w:id="111" w:name="page112"/>
    <w:bookmarkEnd w:id="111"/>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i w:val="1"/>
          <w:iCs w:val="1"/>
          <w:u w:val="single" w:color="auto"/>
          <w:color w:val="auto"/>
        </w:rPr>
        <w:t>(c)</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Kairos Agreement with CEO.CA Technologies Ltd.</w:t>
      </w:r>
    </w:p>
    <w:p>
      <w:pPr>
        <w:spacing w:after="0" w:line="1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23, 2024, the Company entered into an advisory and consulting services agreement (the “CEO.CA Agreement”) with CEO.CA Technologies Ltd., a Canadian company (“CEO.CA”), pursuant to which CEO.CA will provide certain internet-based financial information and communications services for a period of one year for a services fee of $250. The service fee is an advance on future services to be performed. The CEO.CA Agreement includes services such as strategic news placement, news releases, interviews, monthly analytics and a video launch. The CEO.CA Agreement contains other customary clauses, including representations and warranties, indemnification clauses and governing law clauses. The payment of $250 is included in vendor advances on the accompanying Balance Sheet as of December 31, 2025 and 2024. The advance was fully amortized as of December 31, 2025.</w:t>
      </w:r>
    </w:p>
    <w:p>
      <w:pPr>
        <w:spacing w:after="0" w:line="123"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i w:val="1"/>
          <w:iCs w:val="1"/>
          <w:u w:val="single" w:color="auto"/>
          <w:color w:val="auto"/>
        </w:rPr>
        <w:t>(d)</w:t>
        <w:tab/>
        <w:t>Kairos Agreement with Belair Capital Advisors Inc.</w:t>
      </w:r>
    </w:p>
    <w:p>
      <w:pPr>
        <w:spacing w:after="0" w:line="1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23, 2024, the Company entered into a strategic advisory agreement (the “Strategic Advisory Agreement”) with Belair Capital Advisors Inc. (“BCA”). BCA, a venture capital and corporate finance advisory firm, has been a long-term investor and advisor to the Company and frequently works with early-stage pharmaceutical companies. The strategic advisory services provided by BCA consist of corporate strategy, market positioning and long-term growth plans within the pharmaceutical sector, digital marketing and engagement, market research analysis and business development assistance, among other things. During the one-year term of the Strategic Advisory Agreement, in exchange for its services, the Company will pay BCA a $365 fee and will issue BCA 50,000 RSUs, which will vest at the end of six months following the date of issuance. The payment of $365 is included in vendor advances on the accompanying Balance Sheet as of December 31, 2025 and 2024. The advance was fully amortized as of December 31, 2025.</w:t>
      </w:r>
    </w:p>
    <w:p>
      <w:pPr>
        <w:spacing w:after="0" w:line="123"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b w:val="1"/>
          <w:bCs w:val="1"/>
          <w:i w:val="1"/>
          <w:iCs w:val="1"/>
          <w:u w:val="single" w:color="auto"/>
          <w:color w:val="auto"/>
        </w:rPr>
        <w:t>(e)</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Kairos Agreement with Cross Current Capital LLC</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 in cash and agreed to issue to the Advisor $500 of restricted shares of the Company’s common stock under the Company’s 2023 Plan, which was calculated at 367,647 shares (the “Shares”) as of the date of the agreement and were issuable at December 31, 2024. The term of the Consulting Agreement is 24 months and can be extended for another 12 months upon the written consent of both parties. The Company made the $200 payment in October 2024. The payment of $200 and the value of the shares issued of $500 are included in vendor advances on the accompanying Balance Sheet as of December 31, 2025 and 2024.</w:t>
      </w:r>
    </w:p>
    <w:p>
      <w:pPr>
        <w:spacing w:after="0" w:line="1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367,647 shares issuable in 2024 were subject to a “true up” on April 1, 2025, at which time additional shares were either issuable to the Advisor or to be returned by the Advisor to the Company in order to ensure the shares were valued at $500 as of April 1, 2025. Accordingly, on April 1, 2025, the Company issued an additional 166,541 shares of its common stock to the Advisor to bring the value to $500. All the issuable shares were issued during the year ended December 31, 2025. The fair value of the additional shares on the date of grant was $156. The Company recorded the fair value of the shares as a vendor advance as of the same date. The unamortized balance of the advance was $345 at December 31,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DEFERRED OFFERING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 with Helena Global Investment Opportunities</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November 12, 2024, the Company entered into an agreement with Helena Global Investment Opportunities I LTD (“Helena”) pursuant to which the Company will have the right to issue and sell to Helena, from time to time, and Helena shall purchase from the Company, up to $30,000 of the Company’s shares of common stock (the “Equity Line of Credit”). The Equity Line of Credit became available to the Company after the Company filed a registration statement on Form S-1 registering the shares issuable under the Equity Line of Credit and such registration statement became effective. In exchange for the Equity Line of Credit, the Company is obligated to issue Helena a certain number of shares of common stock, calculated using $900 divided by the lowest one-day VWAP during the five trading days prior to entry into the agreement. As a result, the Company issued Helena 670,641 shares of its common stock valued at $1,377 on the date of issuance. The Company accounted for the value of the shares issued as deferred offering costs. The shares vested on the date of the agreement, were issued to Helena, and were subject to a “true up” based upon the value of the stock after the company filed and obtained effectiveness of the registration statement registering the ELOC shares for resale. At December 31, 2024, the balance of the deferred offering costs was $1,377.</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080"/>
          </w:cols>
          <w:pgMar w:left="1080" w:top="1078" w:right="1080" w:bottom="156" w:gutter="0" w:footer="0" w:header="0"/>
        </w:sectPr>
      </w:pPr>
    </w:p>
    <w:bookmarkStart w:id="112" w:name="page113"/>
    <w:bookmarkEnd w:id="112"/>
    <w:p>
      <w:pPr>
        <w:jc w:val="both"/>
        <w:spacing w:after="0" w:line="239" w:lineRule="auto"/>
        <w:rPr>
          <w:sz w:val="20"/>
          <w:szCs w:val="20"/>
          <w:color w:val="auto"/>
        </w:rPr>
      </w:pPr>
      <w:r>
        <w:rPr>
          <w:rFonts w:ascii="Times New Roman" w:cs="Times New Roman" w:eastAsia="Times New Roman" w:hAnsi="Times New Roman"/>
          <w:sz w:val="20"/>
          <w:szCs w:val="20"/>
          <w:color w:val="auto"/>
        </w:rPr>
        <w:t>On April 24, 2025, the Company issued another 384,459 shares of its common stock to Helena. The fair value of the shares on the date of grant was $328. The Company recorded the fair value of the shares as deferred offering costs as of the same date. During the year ended December 31, 2025, the Company amortized $614 of these costs as shares were issued under the agreement. As of December 31, 2025, the balance of the deferred offering costs was $1,091.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SHAREHOLDERS’ EQUITY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Authorized Shares</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Company’s Certificate of Incorporation, as filed with the State of Delaware on May 10, 2023, following the Company’s conversion from a California corporation into a Delaware corporation, authorizes the Company to issue up to 120,000,000 shares, consisting of 100,000,000 shares of common stock, par value of $0.001 per share, and 20,000,000 shares of preferred stock, par value $0.001 per share. Holders of shares of common stock have full voting rights, one vote for each share held of record. Shareholders are entitled to receive dividends as may be declared by the board of directors out of funds legally available and share pro rata in any distributions with shareholders upon liquidation. Shareholders have no conversion, pre-emptive or subscription rights. All outstanding shares of common stock are fully paid and non-assessable. As of December 31, 2025 and 2024, there were 20,821,353 and 13,736,597 shares of common stock issued and outstanding, respectively, and no shares of preferred stock outstanding,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for Cash Upon Closing of the Company’s IPO</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17, 2024, the Company completed the IPO of its common stock in which the Company issued and sold 1,550,000 shares of its common stock at a public offering price of $4.00 per share. The total gross proceeds of the IPO were $6,200 and the Company raised $5,524 in net proceeds after deducting underwriting discounts and commissions and offering expenses payable by the Company, excluding deferred offering costs of $872. The underwriters were granted a 45-day option to purchase up to an additional 232,500 shares of common stock from the Company. No additional shares were sold under the 45-day option.</w:t>
      </w:r>
    </w:p>
    <w:p>
      <w:pPr>
        <w:spacing w:after="0" w:line="2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September 17, 2024, pursuant to the underwriting agreement, the Company issued common stock purchase warrants to the underwriters to purchase up to 108,500 shares of the Company’s common stock, at an exercise price of $4.80 per share, subject to adjustments. The warrants will be exercisable during the period commencing on March 16, 2025 and ending on September 17, 2029, and may be exercised on a cashless basis under certain circumstances.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Upon Conversion of Convertible Notes Payable and Accrued Interest</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2022, the Company entered into several convertible note payable agreements with certain investors totaling $675, with adjustments increasing the principal balance to $792 as of September 17, 2024, the date of the Company’s IPO. Upon closing of the Company’s IPO, the principal amount of $792, plus the accrued and unpaid interest of $92, totaling $884, automatically converted into 368,371 shares of the Company’s common stock based on the principal and accrued interest due as of September 17,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Upon Conversion of Accounts Payable</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During the year ended December 31, 2024, the Company entered into an agreement with Cedars-Sinai Medical Center (“Cedars”) under which Cedars agreed to convert $750 of the total accounts payable due to them into 312,500 shares of the Company’s common stock, with such conversion to occur upon the closing of the Company’s IPO. The conversion price of the shares was equal to 60% of the per share IPO price, or $2.40 per share. Upon the closing of the IPO, the shares were issued to Cedars and the debt was forgiven. The fair value of the shares was $1,250. The Company recorded the difference between the fair value of the shares and the debt forgiven as a financing cost of $500, which was recorded during the year ended December 31, 2024.</w:t>
      </w:r>
    </w:p>
    <w:p>
      <w:pPr>
        <w:spacing w:after="0" w:line="2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Also, during the year ended December 31, 2024, the Company entered into another agreement with Cedars under which Cedars agreed to convert $200 of the total accounts payable due to them into 150,830 shares of the Company’s common stock. The conversion price of the shares was equal to 60% of the closing price of the Company’s common stock on the date of the agreement, or $1.33 per share. The fair value of the shares was $333. The Company recorded the difference between the fair value of the shares and the debt forgiven as a financing cost of $133, which was recorded during the year ended December 31, 2024.</w:t>
      </w:r>
    </w:p>
    <w:p>
      <w:pPr>
        <w:sectPr>
          <w:pgSz w:w="12240" w:h="15840" w:orient="portrait"/>
          <w:cols w:equalWidth="0" w:num="1">
            <w:col w:w="10080"/>
          </w:cols>
          <w:pgMar w:left="1080" w:top="1088" w:right="1080" w:bottom="158"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080"/>
          </w:cols>
          <w:pgMar w:left="1080" w:top="1088" w:right="1080" w:bottom="158" w:gutter="0" w:footer="0" w:header="0"/>
          <w:type w:val="continuous"/>
        </w:sectPr>
      </w:pPr>
    </w:p>
    <w:bookmarkStart w:id="113" w:name="page114"/>
    <w:bookmarkEnd w:id="113"/>
    <w:p>
      <w:pPr>
        <w:jc w:val="both"/>
        <w:spacing w:after="0"/>
        <w:rPr>
          <w:sz w:val="20"/>
          <w:szCs w:val="20"/>
          <w:color w:val="auto"/>
        </w:rPr>
      </w:pPr>
      <w:r>
        <w:rPr>
          <w:rFonts w:ascii="Times New Roman" w:cs="Times New Roman" w:eastAsia="Times New Roman" w:hAnsi="Times New Roman"/>
          <w:sz w:val="20"/>
          <w:szCs w:val="20"/>
          <w:color w:val="auto"/>
        </w:rPr>
        <w:t>During the year ended December 31, 2024, the Company entered into an agreement with its Chief Financial Officer (“CFO”), under which he agreed to convert $172 of the total accounts payable due to him into 51,610 shares of the Company’s common stock with such conversion to occur upon the closing of the Company’s IPO. The conversion price of the shares was equal to 83% of the IPO price. Upon the closing of the IPO, the shares were issued to the CFO. The fair value of the shares was $206. The Company recorded the difference between the fair value of the shares and the accounts payable forgiven as a financing cost of $34, which was recorded during the year ended December 31, 2024. No amounts were owed to the CFO as of December 31, 2024.</w:t>
      </w:r>
    </w:p>
    <w:p>
      <w:pPr>
        <w:spacing w:after="0" w:line="2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summary, during the year ended December 31, 2024, the company issued 514,940 shares of its common stock with a fair value of $1,789 relating to the conversion of its account payable.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Upon Conversion of Amounts Due to Related Parties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2021, shareholders of the Company, and a company whose principal stockholder is also a stockholder of the Company, advanced the Company $14. As of September 17, 2024, the date of the closing of the Company’s IPO, a total of $4 was outstanding.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During the year ended December 31, 2024, the officers agreed to automatically convert the principal into shares of the Company’s common stock upon the closing of the IPO transaction. Upon the closing of the IPO, all of the principal automatically converted into 1,664 shares of the Company’s common stock based on the conversion price of $2.40, which was 60% of the IPO closing price of $4. As the officers received 666 additional shares based on the 40% discounted price, the fair value of those shares, $3, was recorded as a financing cost during the year ended December 31, 2024. As of December 31, 2024, no principal or interest was due on the advances.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for Advances to Vendors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For the services rendered thereunder, the Company agreed to issue to the Advisor $500 of restricted shares of the Company’s common stock under the Company’s 2023 Plan, which was calculated at 367,647 shares (the “Shares”) as of the date of the agreement. The Shares were subsequently issued to Cross Current in 2025. The value of the shares issued of $500 are included in Vendor Advances on the accompanying Balance Sheet as of December 31, 2025 and 2024 (see Note 3).</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Shares were subject to a “true up” on April 1, 2025, at which time additional shares were either issuable to the Advisor or to be returned by the Advisor to the Company in order to ensure the shares were valued at $500 as of April 1, 2025. Accordingly, on April 1, 2025, the Company issued an additional 166,541 shares of its common stock to the Advisor to bring the value to $500. The fair value of the additional shares on the date of grant was $157. The Company recorded the fair value of the shares as a Vendor Advance as of the same date (see Note 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for Cash Upon Closing of the Company’s Private Financing</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January 14, 2025, the Company entered into a securities purchase agreement (“SPA”) and registration rights agreement with an investor for the sale and issuance of 2,500,000 units (the “Pre-Funded Units”), with each Pre-Funded Unit consisting of a pre-funded warrant to purchase one share of common stock, exercisable for $0.001 per share, and a common warrant to purchase one and one half shares of common stock (an aggregate of 3,750,000), exercisable at $1.399 per share. On January 16, 2025, the Company closed on the sale of the Pre-Funded Units for a total purchase price of $3,500 (or $1.40 per Pre-Funded Unit). Net proceeds received by the Company relating to the financing, and subsequent exercise of prefunded warrants was $3,058.</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pre-funded warrants have an exercise price of $0.001 per share and are immediately exercisable and will expire when exercised in full. The common warrants have an exercise price of $1.40 per share, will be exercisable six months from issuance and will expire five and a half years from the issuance date. During the year ended December 31, 2025, the investor exercised 2,500,000 shares of the pre-funded warrants and as of December 31, 2025, there were no pre-funded shares remaining unexercised.</w:t>
      </w:r>
    </w:p>
    <w:p>
      <w:pPr>
        <w:sectPr>
          <w:pgSz w:w="12240" w:h="15840" w:orient="portrait"/>
          <w:cols w:equalWidth="0" w:num="1">
            <w:col w:w="10080"/>
          </w:cols>
          <w:pgMar w:left="1080" w:top="1088" w:right="108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080"/>
          </w:cols>
          <w:pgMar w:left="1080" w:top="1088" w:right="1080" w:bottom="158"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Common Stock Issued for Cash Upon Exercise of the Company’s Equity Line of Credit (ELOC)</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During the year ended December 31, 2025, in connection with its ELOC agreement with Helena, the Company sold 3,510,000 shares of its common stock to Helena for net proceeds of $2,988, which includes the allocation of deferred offering costs of $614. The shares were issued to Helena during the year ended December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Adoption of the 2023 Equity Incentive Plan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July 2023, the Company’s board of directors and stockholders adopted the 2023 Equity Incentive Plan (the “2023 Plan”). Under the 2023 Plan, the Company may grant incentive stock options to employees, including employees of any parent or subsidiary, and nonstatutory stock options, stock appreciation rights, restricted stock awards, RSU awards, performance awards and other forms of stock compensation to employees, directors and consultants, including employees and consultants of the Company’s affiliates. As approved, a total of 1,650,000 shares of common stock were initially reserved for issuance under the 2023 Plan. As of December 31, 2025, and 2024, a total of 877,395 shares and 1,478,000 remained available for issuance under the 2023 Plan,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Grant of Restricted Stock Units (RSUs)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restricted common stock activity during the years ended December 31, 2024 and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12"/>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320" w:type="dxa"/>
            <w:vAlign w:val="bottom"/>
            <w:gridSpan w:val="2"/>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December 31, 2023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(68,341)</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(218)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December 31, 2024 .....................................................</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(144,707)</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(482)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Unvested, December 31, 2025 .....................................................</w:t>
            </w:r>
          </w:p>
        </w:tc>
        <w:tc>
          <w:tcPr>
            <w:tcW w:w="2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772,605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6336665</wp:posOffset>
                </wp:positionH>
                <wp:positionV relativeFrom="paragraph">
                  <wp:posOffset>-1236980</wp:posOffset>
                </wp:positionV>
                <wp:extent cx="6413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97.3999pt" to="504pt,-97.3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-694690</wp:posOffset>
                </wp:positionV>
                <wp:extent cx="6413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54.6999pt" to="504pt,-54.6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-151130</wp:posOffset>
                </wp:positionV>
                <wp:extent cx="6413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1.8999pt" to="504pt,-11.8999pt" o:allowincell="f" strokecolor="#FFFFFF" strokeweight="0.9882pt"/>
            </w:pict>
          </mc:Fallback>
        </mc:AlternateConten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October 8, 2025, the Company’s Compensation Committee of the board of directors approved the grant of an aggregate total of 667,940 RSUs to the Company’s executive officers and directors for their services to be performed from October 2025 to October 2026. The RSUs were granted under the Company’s 2023 Equity Incentive Plan and were valued at $875 on the date of grant. Additionally, the Company’s independent directors received an aggregate total of 57,252 RSUs, with a value of $75 on the date of grant. Each RSU represents the right to receive one share of the Company’s common stock upon vesting. The RSUs will vest in full on October 8, 2026, the first anniversary following the grant date, subject to the recipient’s continuous service with the Company through such vesting date. Notwithstanding the foregoing vesting schedule, in the event of a change in control of the Company (as defined in the Plan) occurring prior to the vesting date, all unvested RSUs will become fully vested immediately upon the occurrence of such change in control.</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September 23, 2024, the Company entered into a strategic advisory agreement with Belair Capital Advisors Inc. (“Belair”). During the one-year term of the agreement, in exchange for its services, the Company issued Belair 50,000 RSUs, which vest nine months from the date of issuance. The fair value of the shares on the date of grant was $100, which value will be amortized over the one-year service period of the agreement. None of these shares vested or were issued during the year ended December 31, 2024. During the years ended December 31, 2025, the 50,000 RSUs vested and the shares were issued to Belair. As of December 31, 2025, no RSUs remained unvested.</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Upon the closing of the Company’s IPO, the Company entered into agreements with each of its four officers. Such agreements provided for annual grants of RSUs in accordance with the terms of the Company’s 2023 Equity Incentive Plan. The RSUs vest over one- or two-year periods and are subject to full acceleration of vesting upon the sale of the Company. Upon the closing of the Company’s IPO in September 2024, the Company granted the officers 92,000 RSUs. The fair value of the shares on the date of grant was $226. None of these RSUs vested during the year ended December 31, 2024. During the years ended December 31, 2025, a total of 78,000 RSUs vested, and the shares were issued to the officers. As of December 31, 2025, 14,000 RSUs remained unvested.</w:t>
      </w:r>
    </w:p>
    <w:p>
      <w:pPr>
        <w:sectPr>
          <w:pgSz w:w="12240" w:h="15840" w:orient="portrait"/>
          <w:cols w:equalWidth="0" w:num="1">
            <w:col w:w="10080"/>
          </w:cols>
          <w:pgMar w:left="1080" w:top="1078" w:right="108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080"/>
          </w:cols>
          <w:pgMar w:left="1080" w:top="1078" w:right="1080" w:bottom="158" w:gutter="0" w:footer="0" w:header="0"/>
          <w:type w:val="continuous"/>
        </w:sectPr>
      </w:pPr>
    </w:p>
    <w:bookmarkStart w:id="115" w:name="page116"/>
    <w:bookmarkEnd w:id="115"/>
    <w:p>
      <w:pPr>
        <w:jc w:val="both"/>
        <w:ind w:left="20" w:right="40"/>
        <w:spacing w:after="0" w:line="255" w:lineRule="auto"/>
        <w:rPr>
          <w:sz w:val="20"/>
          <w:szCs w:val="20"/>
          <w:color w:val="auto"/>
        </w:rPr>
      </w:pPr>
      <w:r>
        <w:rPr>
          <w:rFonts w:ascii="Times New Roman" w:cs="Times New Roman" w:eastAsia="Times New Roman" w:hAnsi="Times New Roman"/>
          <w:sz w:val="19"/>
          <w:szCs w:val="19"/>
          <w:color w:val="auto"/>
        </w:rPr>
        <w:t>Upon the closing of the Company’s IPO, the Company entered into agreements with each of its three independent directors. The Company’s policy provides that, upon initial election or appointment to its board of directors, each new non-employee director will be granted a one-time grant, or Director Initial Grant, that will vest in substantially equal annual installments over a period of three years. The Director Initial Grant is subject to full acceleration of vesting upon the sale of the Company, in accordance with the terms of the Company’s 2023 Plan. In 2024, a total of 30,000 RSUs were granted to the directors. The fair value of the RSUs on the date of grant was $43. None of the RSUs vested during the year ended December 31, 2024. During the years ended December 31, 2025, an additional 20,120 RSUs were granted to the Company’s new director with a fair value of $31. During the year ended December 31, 2025, a total of 16,707 shares vested, and 33,413 RSUs remained unvested.</w:t>
      </w:r>
    </w:p>
    <w:p>
      <w:pPr>
        <w:spacing w:after="0" w:line="230" w:lineRule="exact"/>
        <w:rPr>
          <w:sz w:val="20"/>
          <w:szCs w:val="20"/>
          <w:color w:val="auto"/>
        </w:rPr>
      </w:pPr>
    </w:p>
    <w:p>
      <w:pPr>
        <w:jc w:val="both"/>
        <w:ind w:left="20" w:right="40"/>
        <w:spacing w:after="0" w:line="236" w:lineRule="auto"/>
        <w:rPr>
          <w:sz w:val="20"/>
          <w:szCs w:val="20"/>
          <w:color w:val="auto"/>
        </w:rPr>
      </w:pPr>
      <w:r>
        <w:rPr>
          <w:rFonts w:ascii="Times New Roman" w:cs="Times New Roman" w:eastAsia="Times New Roman" w:hAnsi="Times New Roman"/>
          <w:sz w:val="20"/>
          <w:szCs w:val="20"/>
          <w:color w:val="auto"/>
        </w:rPr>
        <w:t>During the years ended December 31, 2025, the Company recorded $482 of stock compensation-related expense for the fair value vesting of restricted common stock. As of December 31, 2025, $813 of unamortized compensation remained.</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Stock Warrants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table below summarizes the Company’s warrant activities for years ended December 31, 2024 and 2025:</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8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20" w:type="dxa"/>
            <w:vAlign w:val="bottom"/>
          </w:tcPr>
          <w:p>
            <w:pPr>
              <w:spacing w:after="0"/>
              <w:rPr>
                <w:sz w:val="18"/>
                <w:szCs w:val="18"/>
                <w:color w:val="auto"/>
              </w:rPr>
            </w:pPr>
          </w:p>
        </w:tc>
        <w:tc>
          <w:tcPr>
            <w:tcW w:w="8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2"/>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415"/>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2023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Forfeited/Expired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2024 .......................................................</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278,188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2.40 - 4.80</w:t>
            </w: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6,670,700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w:t>
            </w: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(2,517,850)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0.46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Forfeited/Expired .........................................................................</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2025 .......................................................</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4,281,038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4.80</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December 31, 2025 ................................</w:t>
            </w: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4,281,038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4.80</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6349365</wp:posOffset>
                </wp:positionH>
                <wp:positionV relativeFrom="paragraph">
                  <wp:posOffset>-971550</wp:posOffset>
                </wp:positionV>
                <wp:extent cx="6413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76.4999pt" to="505pt,-76.4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-296545</wp:posOffset>
                </wp:positionV>
                <wp:extent cx="6413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3.3499pt" to="505pt,-23.3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-151130</wp:posOffset>
                </wp:positionV>
                <wp:extent cx="6413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1.8999pt" to="505pt,-11.8999pt" o:allowincell="f" strokecolor="#FFFFFF" strokeweight="0.9882pt"/>
            </w:pict>
          </mc:Fallback>
        </mc:AlternateConten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following table summarizes information concerning outstanding and exercisable warrants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bottom w:val="single" w:sz="8" w:color="auto"/>
            </w:tcBorders>
            <w:gridSpan w:val="7"/>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9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Exercisable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00" w:type="dxa"/>
            <w:vAlign w:val="bottom"/>
            <w:gridSpan w:val="2"/>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5"/>
        </w:trPr>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0.40 - 0.46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1.23 - 2.40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4,154,688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4,154,688</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3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0.40 - 4.80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4,281,038</w:t>
            </w:r>
          </w:p>
        </w:tc>
        <w:tc>
          <w:tcPr>
            <w:tcW w:w="3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4,281,038</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6349365</wp:posOffset>
                </wp:positionH>
                <wp:positionV relativeFrom="paragraph">
                  <wp:posOffset>-1535430</wp:posOffset>
                </wp:positionV>
                <wp:extent cx="6413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20.8999pt" to="505pt,-120.8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972185</wp:posOffset>
                </wp:positionH>
                <wp:positionV relativeFrom="paragraph">
                  <wp:posOffset>-860425</wp:posOffset>
                </wp:positionV>
                <wp:extent cx="1905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55pt,-67.7499pt" to="91.55pt,-67.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1866900</wp:posOffset>
                </wp:positionH>
                <wp:positionV relativeFrom="paragraph">
                  <wp:posOffset>-860425</wp:posOffset>
                </wp:positionV>
                <wp:extent cx="19177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pt,-67.7499pt" to="162.1pt,-67.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2762885</wp:posOffset>
                </wp:positionH>
                <wp:positionV relativeFrom="paragraph">
                  <wp:posOffset>-860425</wp:posOffset>
                </wp:positionV>
                <wp:extent cx="19177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55pt,-67.7499pt" to="232.65pt,-67.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-860425</wp:posOffset>
                </wp:positionV>
                <wp:extent cx="6413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67.7499pt" to="505pt,-67.7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972185</wp:posOffset>
                </wp:positionH>
                <wp:positionV relativeFrom="paragraph">
                  <wp:posOffset>-316865</wp:posOffset>
                </wp:positionV>
                <wp:extent cx="1905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55pt,-24.9499pt" to="91.55pt,-24.9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1866900</wp:posOffset>
                </wp:positionH>
                <wp:positionV relativeFrom="paragraph">
                  <wp:posOffset>-316865</wp:posOffset>
                </wp:positionV>
                <wp:extent cx="19177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pt,-24.9499pt" to="162.1pt,-24.9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2762885</wp:posOffset>
                </wp:positionH>
                <wp:positionV relativeFrom="paragraph">
                  <wp:posOffset>-316865</wp:posOffset>
                </wp:positionV>
                <wp:extent cx="19177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77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55pt,-24.9499pt" to="232.65pt,-24.9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-316865</wp:posOffset>
                </wp:positionV>
                <wp:extent cx="6413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4.9499pt" to="505pt,-24.9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972185</wp:posOffset>
                </wp:positionH>
                <wp:positionV relativeFrom="paragraph">
                  <wp:posOffset>-162560</wp:posOffset>
                </wp:positionV>
                <wp:extent cx="1905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4763"/>
                        </a:xfrm>
                        <a:prstGeom prst="line">
                          <a:avLst/>
                        </a:prstGeom>
                        <a:solidFill>
                          <a:srgbClr val="FFFFFF"/>
                        </a:solidFill>
                        <a:ln w="31376">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55pt,-12.7999pt" to="91.55pt,-12.7999pt" o:allowincell="f" strokecolor="#FFFFFF" strokeweight="2.4706pt"/>
            </w:pict>
          </mc:Fallback>
        </mc:AlternateContent>
        <mc:AlternateContent>
          <mc:Choice Requires="wps">
            <w:drawing>
              <wp:anchor simplePos="0" relativeHeight="251657728" behindDoc="1" locked="0" layoutInCell="0" allowOverlap="1">
                <wp:simplePos x="0" y="0"/>
                <wp:positionH relativeFrom="column">
                  <wp:posOffset>3916045</wp:posOffset>
                </wp:positionH>
                <wp:positionV relativeFrom="paragraph">
                  <wp:posOffset>-162560</wp:posOffset>
                </wp:positionV>
                <wp:extent cx="89662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6620" cy="4763"/>
                        </a:xfrm>
                        <a:prstGeom prst="line">
                          <a:avLst/>
                        </a:prstGeom>
                        <a:solidFill>
                          <a:srgbClr val="FFFFFF"/>
                        </a:solidFill>
                        <a:ln w="31376">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35pt,-12.7999pt" to="378.95pt,-12.7999pt" o:allowincell="f" strokecolor="#FFFFFF" strokeweight="2.4706pt"/>
            </w:pict>
          </mc:Fallback>
        </mc:AlternateContent>
      </w:r>
    </w:p>
    <w:p>
      <w:pPr>
        <w:ind w:left="20"/>
        <w:spacing w:after="0" w:line="23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Warrant Grants</w:t>
      </w:r>
    </w:p>
    <w:p>
      <w:pPr>
        <w:spacing w:after="0" w:line="245" w:lineRule="exact"/>
        <w:rPr>
          <w:sz w:val="20"/>
          <w:szCs w:val="20"/>
          <w:color w:val="auto"/>
        </w:rPr>
      </w:pPr>
    </w:p>
    <w:p>
      <w:pPr>
        <w:jc w:val="both"/>
        <w:ind w:left="20" w:right="40"/>
        <w:spacing w:after="0"/>
        <w:rPr>
          <w:sz w:val="20"/>
          <w:szCs w:val="20"/>
          <w:color w:val="auto"/>
        </w:rPr>
      </w:pPr>
      <w:r>
        <w:rPr>
          <w:rFonts w:ascii="Times New Roman" w:cs="Times New Roman" w:eastAsia="Times New Roman" w:hAnsi="Times New Roman"/>
          <w:sz w:val="20"/>
          <w:szCs w:val="20"/>
          <w:color w:val="auto"/>
        </w:rPr>
        <w:t>On January 14, 2025, as amended on January 16, 2025, the Company entered into a securities purchase agreement (“SPA”) and registration rights agreement with a select investor. In connection with the agreement, on January 16, 2025, the Company issued the investor a pre-funded warrant to purchase up to 2,500,000 shares of the Company’s common stock at an exercise price of $0.001 per share. The warrant is immediately exercisable and will expire when exercised in full. During the years ended December 31, 2025, the SPA investor exercised 2,500,000 shares of the pre-funded warrant, and as of December 31, 2025, there were no shares remaining unexercised. The investor also received a warrant to purchase up to 3,750,000 shares of the Company’s common stock at an exercise price of $1.40 per share. The warrant will be exercisable six months from the date of issuance (July 2025) and will expire five years from the issuance date. All the warrant shares were exercisable as of December 31, 2025.</w:t>
      </w:r>
    </w:p>
    <w:p>
      <w:pPr>
        <w:sectPr>
          <w:pgSz w:w="12240" w:h="15840" w:orient="portrait"/>
          <w:cols w:equalWidth="0" w:num="1">
            <w:col w:w="10140"/>
          </w:cols>
          <w:pgMar w:left="1060" w:top="1088" w:right="1040" w:bottom="158"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140"/>
          </w:cols>
          <w:pgMar w:left="1060" w:top="1088" w:right="1040" w:bottom="158" w:gutter="0" w:footer="0" w:header="0"/>
          <w:type w:val="continuous"/>
        </w:sectPr>
      </w:pPr>
    </w:p>
    <w:bookmarkStart w:id="116" w:name="page117"/>
    <w:bookmarkEnd w:id="116"/>
    <w:p>
      <w:pPr>
        <w:jc w:val="both"/>
        <w:spacing w:after="0" w:line="239" w:lineRule="auto"/>
        <w:rPr>
          <w:sz w:val="20"/>
          <w:szCs w:val="20"/>
          <w:color w:val="auto"/>
        </w:rPr>
      </w:pPr>
      <w:r>
        <w:rPr>
          <w:rFonts w:ascii="Times New Roman" w:cs="Times New Roman" w:eastAsia="Times New Roman" w:hAnsi="Times New Roman"/>
          <w:sz w:val="20"/>
          <w:szCs w:val="20"/>
          <w:color w:val="auto"/>
        </w:rPr>
        <w:t>On January 16, 2025, the Company issued a warrant to purchase common stock to the underwriters of the SPA for the purchase of 175,000 shares of the Company’s common stock at an exercise price of $1.40 per share. The warrant vested upon grant. The warrant was issued to the underwriters as they were the placement agents for the SPA noted above. The warrant expires five years from the date of grant.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May and June 2025, the Company issued warrants to purchase common stock to the underwriters of the SPA for the purchase of 35,700 shares of the Company’s common stock at exercise prices of $0.40 and $0.46 per share. The warrants vested upon grant. The warrants were issued to the underwriters as they were the placement agents for the SPA noted above. The warrants expire five years from the date of grant. During the year ended December 31, 2025, a total of 17,850 shares were exercised under a cashless exercise, leaving 17,850 shares outstanding and exercisable. A total of 11,402 shares of the Company’s common stock were issued pursuant to cashless exercise.</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July 2025, the Company issued warrants to purchase common stock to the underwriters of the SPA for the purchase of 210,000 shares of the Company’s common stock at an exercise price of $1.23 per share. The warrants vested upon grant. The warrants were issued to the underwriters as they acted as placement agents for the SPA noted above. The warrants expire five years from the date of grant.</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September 17, 2024, upon the closing of the IPO, the Company issued stock warrants to the participating underwriters for the purchase of up to 108,500 shares of the Company’s common stock, at an exercise price of $4.80 per share, subject to adjustment. The warrants will be exercisable during the period commencing on March 16, 2025, and ending on September 16, 2029, and may be exercised on a cashless basis under certain circumstances.</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17, 2024, upon the closing of the IPO, the Company issued a stock warrant to the underwriters for the purchase of 19,688 shares of common stock at an exercise price of $2.40 per share. The warrant vested upon grant. The warrant was issued to the underwriters as they were the placement agents for the convertible notes payable (see Note 5). The Company valued the warrant using a Black-Scholes pricing model with the following weighted average assumptions: fair value of the Company’s stock price of $2.46 per share, the expected term of 2.5 years, volatility of 100%, dividend rate of 0%, and risk-free interest rate of 3.49%. The fair value of the warrant of $29 was recorded to General and Administrative expense during the year ended December 31, 2024. The warrant expires five years from the date of grant.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intrinsic value for warrant shares outstanding as of December 31, 2025 was $4.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COMMITMENTS AND CONTINGENCIES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Kairos Exclusive License Agreements with Cedars-Sinai Medical Center (Cedars)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has entered into four Exclusive License Agreements with Cedars, each of which grants the Company licensing rights with respect to certain patent rights owned by Cedars as follows:</w:t>
      </w:r>
    </w:p>
    <w:p>
      <w:pPr>
        <w:spacing w:after="0" w:line="234" w:lineRule="exact"/>
        <w:rPr>
          <w:sz w:val="20"/>
          <w:szCs w:val="20"/>
          <w:color w:val="auto"/>
        </w:rPr>
      </w:pPr>
    </w:p>
    <w:p>
      <w:pPr>
        <w:ind w:left="720" w:hanging="36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Methods of use of compounds that bind to RelA of NFkB;</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 and methods for treating fibrosis;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Compositions and methods for treating cancer and autoimmune diseases;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 of generating activated T cells for cancer therapy.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each of the exclusive license agreement in items 1, 2 and 3, the Company was required to pay an initial license fee of $5, reimburse Cedars for patent protection costs ranging from approximately $9 to $61, pay an annual maintenance fee of $10, and pay royalties based on 3.75% of net sales and pay other non-royalty sublicense fees ranging from 5% to 35% of sales of products. In addition, for items 1, 2 and 3, the Company is required to pay Cedars based on the following milestones:</w:t>
      </w:r>
    </w:p>
    <w:p>
      <w:pPr>
        <w:spacing w:after="0" w:line="235" w:lineRule="exact"/>
        <w:rPr>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upon the successful completing of Phase I clinical trial;</w:t>
      </w:r>
    </w:p>
    <w:p>
      <w:pPr>
        <w:spacing w:after="0" w:line="80"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(for items 1 and 2) and $500 (for item 3) upon the successful completing of Phase II clinical trial for a product and receipt of Food and Drug Administration (“FDA”) approval for a Phase III clinical trial;</w:t>
      </w:r>
    </w:p>
    <w:p>
      <w:pPr>
        <w:spacing w:after="0" w:line="83"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 upon receipt of FDA approval of a new drug application or equivalent foreign regulatory approval in a non-United States major commercial market; and</w:t>
      </w:r>
    </w:p>
    <w:p>
      <w:pPr>
        <w:spacing w:after="0" w:line="7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upon cumulative net sales exceeding $5,000.</w:t>
      </w:r>
    </w:p>
    <w:p>
      <w:pPr>
        <w:sectPr>
          <w:pgSz w:w="12240" w:h="15840" w:orient="portrait"/>
          <w:cols w:equalWidth="0" w:num="1">
            <w:col w:w="10080"/>
          </w:cols>
          <w:pgMar w:left="1080" w:top="1088" w:right="108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080"/>
          </w:cols>
          <w:pgMar w:left="1080" w:top="1088" w:right="1080" w:bottom="158" w:gutter="0" w:footer="0" w:header="0"/>
          <w:type w:val="continuous"/>
        </w:sectPr>
      </w:pPr>
    </w:p>
    <w:bookmarkStart w:id="117" w:name="page118"/>
    <w:bookmarkEnd w:id="117"/>
    <w:p>
      <w:pPr>
        <w:jc w:val="both"/>
        <w:spacing w:after="0" w:line="239" w:lineRule="auto"/>
        <w:rPr>
          <w:sz w:val="20"/>
          <w:szCs w:val="20"/>
          <w:color w:val="auto"/>
        </w:rPr>
      </w:pPr>
      <w:r>
        <w:rPr>
          <w:rFonts w:ascii="Times New Roman" w:cs="Times New Roman" w:eastAsia="Times New Roman" w:hAnsi="Times New Roman"/>
          <w:sz w:val="20"/>
          <w:szCs w:val="20"/>
          <w:color w:val="auto"/>
        </w:rPr>
        <w:t>For the exclusive license agreement in item 4, the Company is required to pay an initial license fee of $50 upon raising $500 in capital, pay an annual maintenance fee of $10, pay royalties based on 4.25% of patent product sales and 0.5% of other sales and pay other non-royalty sublicense fees ranging from 5% to 35%. In addition, the Company is required to pay Cedars based on the following milestones:</w:t>
      </w:r>
    </w:p>
    <w:p>
      <w:pPr>
        <w:spacing w:after="0" w:line="211" w:lineRule="exact"/>
        <w:rPr>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upon the successful completing of Phase I clinical trial;</w:t>
      </w:r>
    </w:p>
    <w:p>
      <w:pPr>
        <w:spacing w:after="0" w:line="80" w:lineRule="exact"/>
        <w:rPr>
          <w:rFonts w:ascii="Times New Roman" w:cs="Times New Roman" w:eastAsia="Times New Roman" w:hAnsi="Times New Roman"/>
          <w:sz w:val="20"/>
          <w:szCs w:val="20"/>
          <w:color w:val="auto"/>
        </w:rPr>
      </w:pPr>
    </w:p>
    <w:p>
      <w:pPr>
        <w:ind w:left="720" w:hanging="360"/>
        <w:spacing w:after="0" w:line="236"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upon the successful completing of Phase II clinical trial and receipt of Food and Drug Administration (“FDA”) or equivalent regulatory agency in another jurisdiction approval for a Phase III clinical trial;</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 upon receipt of FDA approval of a new drug application;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 upon cumulative net sales exceeding $50,000.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no amounts were due under the Exclusive License Agreements between Cedars and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Enviro Therapeutics</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June 2, 2021, the Company’s then-wholly owned subsidiary, Enviro, entered into two Exclusive License Agreements with Cedars, which granted Enviro exclusive licensing rights (which include the right to sublicense) with respect to certain patent rights owned by Cedars, as follows:</w:t>
      </w:r>
    </w:p>
    <w:p>
      <w:pPr>
        <w:spacing w:after="0" w:line="221" w:lineRule="exact"/>
        <w:rPr>
          <w:sz w:val="20"/>
          <w:szCs w:val="20"/>
          <w:color w:val="auto"/>
        </w:rPr>
      </w:pPr>
    </w:p>
    <w:p>
      <w:pPr>
        <w:jc w:val="both"/>
        <w:ind w:left="720" w:hanging="360"/>
        <w:spacing w:after="0" w:line="237"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w:t>
      </w:r>
    </w:p>
    <w:p>
      <w:pPr>
        <w:spacing w:after="0" w:line="3"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Circulation and for Detection of Mitochondrial DNA” invented by Dr. Neil Bhowmick and others; and</w:t>
      </w:r>
    </w:p>
    <w:p>
      <w:pPr>
        <w:spacing w:after="0" w:line="81" w:lineRule="exact"/>
        <w:rPr>
          <w:rFonts w:ascii="Times New Roman" w:cs="Times New Roman" w:eastAsia="Times New Roman" w:hAnsi="Times New Roman"/>
          <w:sz w:val="20"/>
          <w:szCs w:val="20"/>
          <w:color w:val="auto"/>
        </w:rPr>
      </w:pPr>
    </w:p>
    <w:p>
      <w:pPr>
        <w:jc w:val="both"/>
        <w:ind w:left="720" w:hanging="360"/>
        <w:spacing w:after="0" w:line="235"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License Agreement (the “Enviro-Cedars License Agreement (Endoglin Antagonism)” and, collectively with the Enviro-Cedars License Agreement (Mitochondrial DNA), the “Enviro-Cedars License Agreements”) for</w:t>
      </w:r>
    </w:p>
    <w:p>
      <w:pPr>
        <w:spacing w:after="0" w:line="14" w:lineRule="exact"/>
        <w:rPr>
          <w:rFonts w:ascii="Times New Roman" w:cs="Times New Roman" w:eastAsia="Times New Roman" w:hAnsi="Times New Roman"/>
          <w:sz w:val="20"/>
          <w:szCs w:val="20"/>
          <w:color w:val="auto"/>
        </w:rPr>
      </w:pPr>
    </w:p>
    <w:p>
      <w:pPr>
        <w:jc w:val="both"/>
        <w:ind w:left="72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 to develop, manufacture, use and sell products utilized or derived from the patent rights and technical information worldwide related to the “Sensitization of Tumors to Therapies Through Endoglin Antagonism” invented by Dr. Neil Bhowmick and others.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$50,000; and cumulative net sales exceeding $100,000. If all of these payment milestones are met among both of the Exclusive License Agreements, the required milestone payments would total in the mid-to-high seven-figures.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Pursuant to the Exclusive License Agreements, Enviro was obligated to meet the following Commercialization Milestones. Pursuant to the Enviro-Cedars License Agreement (Endoglin Antagonism), Enviro was obligated to (1)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w:t>
      </w:r>
    </w:p>
    <w:p>
      <w:pPr>
        <w:spacing w:after="0" w:line="5" w:lineRule="exact"/>
        <w:rPr>
          <w:sz w:val="20"/>
          <w:szCs w:val="20"/>
          <w:color w:val="auto"/>
        </w:rPr>
      </w:pPr>
    </w:p>
    <w:p>
      <w:pPr>
        <w:jc w:val="both"/>
        <w:spacing w:after="0" w:line="239" w:lineRule="auto"/>
        <w:tabs>
          <w:tab w:leader="none" w:pos="2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2240" w:h="15840" w:orient="portrait"/>
          <w:cols w:equalWidth="0" w:num="1">
            <w:col w:w="10080"/>
          </w:cols>
          <w:pgMar w:left="1080" w:top="1088" w:right="1080" w:bottom="156" w:gutter="0" w:footer="0" w:header="0"/>
        </w:sectPr>
      </w:pPr>
    </w:p>
    <w:bookmarkStart w:id="118" w:name="page119"/>
    <w:bookmarkEnd w:id="118"/>
    <w:p>
      <w:pPr>
        <w:jc w:val="both"/>
        <w:spacing w:after="0"/>
        <w:rPr>
          <w:sz w:val="20"/>
          <w:szCs w:val="20"/>
          <w:color w:val="auto"/>
        </w:rPr>
      </w:pPr>
      <w:r>
        <w:rPr>
          <w:rFonts w:ascii="Times New Roman" w:cs="Times New Roman" w:eastAsia="Times New Roman" w:hAnsi="Times New Roman"/>
          <w:sz w:val="20"/>
          <w:szCs w:val="20"/>
          <w:color w:val="auto"/>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Novation Agreements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on October 1, 2025, the Board approved the Company’s entry into a novation agreement (the “Tracon Novation Agreement”) with Tracon Pharmaceuticals, Inc. (the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Agreement with Lonza Sales AG</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November 12, 2025, the Company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$1,143 in consideration, which will be paid over time as each of the 13 stages of the Lonza Amendment are completed. As of December 31, 2025, Lonza’s testing and preparation of the ENV105 antibody had yet to be completed and the Company had yet to make any payments to Lonza.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Legal Matters</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the Company’s knowledge, it is not currently the subject of any material legal proceeding. In the future, the Company may be involved in actual and/or threatened legal proceedings, claims, investigations and government inquiries arising in the ordinary course of our business, including legal proceedings, claims, investigations and government inquiries involving intellectual property, data privacy and security, other torts, illegal or objectionable content, consumer protection, securities, employment, contractual rights, civil rights infringement, false or misleading advertising, or other legal claims relating to our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INCOME TAXES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A full valuation allowance is established against all net deferred tax assets as of December 31, 2025 and 2024 based on estimates of recoverability. While the Company has optimistic plans for its business strategy, it determined that such a valuation allowance was necessary given the current and expected near-term losses and the uncertainty with respect to its ability to generate sufficient profits from its business model. Because of the impacts of the valuation allowance, there was no income tax expense or benefit for the years ended December 31, 2025 and 2024.</w:t>
      </w:r>
    </w:p>
    <w:p>
      <w:pPr>
        <w:sectPr>
          <w:pgSz w:w="12240" w:h="15840" w:orient="portrait"/>
          <w:cols w:equalWidth="0" w:num="1">
            <w:col w:w="10080"/>
          </w:cols>
          <w:pgMar w:left="1080" w:top="1088" w:right="108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080"/>
          </w:cols>
          <w:pgMar w:left="1080" w:top="1088" w:right="1080" w:bottom="158" w:gutter="0" w:footer="0" w:header="0"/>
          <w:type w:val="continuous"/>
        </w:sectPr>
      </w:pPr>
    </w:p>
    <w:bookmarkStart w:id="119" w:name="page120"/>
    <w:bookmarkEnd w:id="119"/>
    <w:p>
      <w:pPr>
        <w:jc w:val="both"/>
        <w:ind w:left="20" w:right="40"/>
        <w:spacing w:after="0" w:line="235" w:lineRule="auto"/>
        <w:rPr>
          <w:sz w:val="20"/>
          <w:szCs w:val="20"/>
          <w:color w:val="auto"/>
        </w:rPr>
      </w:pPr>
      <w:r>
        <w:rPr>
          <w:rFonts w:ascii="Times New Roman" w:cs="Times New Roman" w:eastAsia="Times New Roman" w:hAnsi="Times New Roman"/>
          <w:sz w:val="20"/>
          <w:szCs w:val="20"/>
          <w:color w:val="auto"/>
        </w:rPr>
        <w:t>A reconciliation of the differences between the effective and statutory income tax rates for the years ended December 31, 2025 and 2024 are shown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80" w:type="dxa"/>
            <w:vAlign w:val="bottom"/>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gridSpan w:val="3"/>
          </w:tcPr>
          <w:p>
            <w:pPr>
              <w:spacing w:after="0"/>
              <w:rPr>
                <w:sz w:val="18"/>
                <w:szCs w:val="18"/>
                <w:color w:val="auto"/>
              </w:rPr>
            </w:pPr>
          </w:p>
        </w:tc>
      </w:tr>
      <w:tr>
        <w:trPr>
          <w:trHeight w:val="41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rates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24"/>
                <w:szCs w:val="24"/>
                <w:color w:val="auto"/>
              </w:rPr>
            </w:pPr>
          </w:p>
        </w:tc>
      </w:tr>
      <w:tr>
        <w:trPr>
          <w:trHeight w:val="20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r>
      <w:tr>
        <w:trPr>
          <w:trHeight w:val="20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8"/>
                <w:szCs w:val="18"/>
                <w:color w:val="auto"/>
              </w:rPr>
            </w:pPr>
          </w:p>
        </w:tc>
      </w:tr>
      <w:tr>
        <w:trPr>
          <w:trHeight w:val="211"/>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against net deferred tax assets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rate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6280150</wp:posOffset>
                </wp:positionH>
                <wp:positionV relativeFrom="paragraph">
                  <wp:posOffset>-1138555</wp:posOffset>
                </wp:positionV>
                <wp:extent cx="13335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5pt,-89.6499pt" to="505pt,-89.6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6280150</wp:posOffset>
                </wp:positionH>
                <wp:positionV relativeFrom="paragraph">
                  <wp:posOffset>-993140</wp:posOffset>
                </wp:positionV>
                <wp:extent cx="13335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5pt,-78.1999pt" to="505pt,-78.19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2740025</wp:posOffset>
                </wp:positionH>
                <wp:positionV relativeFrom="paragraph">
                  <wp:posOffset>-162560</wp:posOffset>
                </wp:positionV>
                <wp:extent cx="69024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31376">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75pt,-12.7999pt" to="270.1pt,-12.7999pt" o:allowincell="f" strokecolor="#FFFFFF" strokeweight="2.4706pt"/>
            </w:pict>
          </mc:Fallback>
        </mc:AlternateContent>
      </w:r>
    </w:p>
    <w:p>
      <w:pPr>
        <w:ind w:left="20"/>
        <w:spacing w:after="0" w:line="238" w:lineRule="auto"/>
        <w:rPr>
          <w:sz w:val="20"/>
          <w:szCs w:val="20"/>
          <w:color w:val="auto"/>
        </w:rPr>
      </w:pPr>
      <w:r>
        <w:rPr>
          <w:rFonts w:ascii="Times New Roman" w:cs="Times New Roman" w:eastAsia="Times New Roman" w:hAnsi="Times New Roman"/>
          <w:sz w:val="20"/>
          <w:szCs w:val="20"/>
          <w:color w:val="auto"/>
        </w:rPr>
        <w:t>At December 31, 2024 and 2023, the significant components of the deferred tax assets are summarized below:</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188"/>
        </w:trPr>
        <w:tc>
          <w:tcPr>
            <w:tcW w:w="20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w w:val="99"/>
              </w:rPr>
              <w:t>Deferred income tax assets:</w:t>
            </w:r>
          </w:p>
        </w:tc>
        <w:tc>
          <w:tcPr>
            <w:tcW w:w="2680" w:type="dxa"/>
            <w:vAlign w:val="bottom"/>
            <w:gridSpan w:val="3"/>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Net operating loss carryforwards ..........................................</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tcPr>
          <w:p>
            <w:pPr>
              <w:spacing w:after="0"/>
              <w:rPr>
                <w:sz w:val="18"/>
                <w:szCs w:val="18"/>
                <w:color w:val="auto"/>
              </w:rPr>
            </w:pPr>
          </w:p>
        </w:tc>
      </w:tr>
      <w:tr>
        <w:trPr>
          <w:trHeight w:val="210"/>
        </w:trPr>
        <w:tc>
          <w:tcPr>
            <w:tcW w:w="5680" w:type="dxa"/>
            <w:vAlign w:val="bottom"/>
            <w:gridSpan w:val="5"/>
          </w:tcPr>
          <w:p>
            <w:pPr>
              <w:jc w:val="right"/>
              <w:ind w:right="1113"/>
              <w:spacing w:after="0"/>
              <w:rPr>
                <w:sz w:val="20"/>
                <w:szCs w:val="20"/>
                <w:color w:val="auto"/>
              </w:rPr>
            </w:pPr>
            <w:r>
              <w:rPr>
                <w:rFonts w:ascii="Times New Roman" w:cs="Times New Roman" w:eastAsia="Times New Roman" w:hAnsi="Times New Roman"/>
                <w:sz w:val="18"/>
                <w:szCs w:val="18"/>
                <w:color w:val="auto"/>
              </w:rPr>
              <w:t>Capitalized R&amp;D expenses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r>
      <w:tr>
        <w:trPr>
          <w:trHeight w:val="207"/>
        </w:trPr>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Total deferred income tax assets ......................................</w:t>
            </w: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18"/>
                <w:szCs w:val="18"/>
                <w:color w:val="auto"/>
              </w:rPr>
            </w:pPr>
          </w:p>
        </w:tc>
      </w:tr>
      <w:tr>
        <w:trPr>
          <w:trHeight w:val="210"/>
        </w:trPr>
        <w:tc>
          <w:tcPr>
            <w:tcW w:w="5680" w:type="dxa"/>
            <w:vAlign w:val="bottom"/>
            <w:gridSpan w:val="5"/>
          </w:tcPr>
          <w:p>
            <w:pPr>
              <w:jc w:val="right"/>
              <w:ind w:right="1113"/>
              <w:spacing w:after="0"/>
              <w:rPr>
                <w:sz w:val="20"/>
                <w:szCs w:val="20"/>
                <w:color w:val="auto"/>
              </w:rPr>
            </w:pPr>
            <w:r>
              <w:rPr>
                <w:rFonts w:ascii="Times New Roman" w:cs="Times New Roman" w:eastAsia="Times New Roman" w:hAnsi="Times New Roman"/>
                <w:sz w:val="18"/>
                <w:szCs w:val="18"/>
                <w:color w:val="auto"/>
              </w:rPr>
              <w:t>Less: valuation allowance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w:t>
            </w:r>
          </w:p>
        </w:tc>
      </w:tr>
      <w:tr>
        <w:trPr>
          <w:trHeight w:val="209"/>
        </w:trPr>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Total net deferred income taxes .......................................</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r>
      <w:tr>
        <w:trPr>
          <w:trHeight w:val="188"/>
        </w:trPr>
        <w:tc>
          <w:tcPr>
            <w:tcW w:w="468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24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07"/>
        </w:trPr>
        <w:tc>
          <w:tcPr>
            <w:tcW w:w="5680" w:type="dxa"/>
            <w:vAlign w:val="bottom"/>
            <w:gridSpan w:val="5"/>
          </w:tcPr>
          <w:p>
            <w:pPr>
              <w:jc w:val="right"/>
              <w:ind w:right="1113"/>
              <w:spacing w:after="0"/>
              <w:rPr>
                <w:sz w:val="20"/>
                <w:szCs w:val="20"/>
                <w:color w:val="auto"/>
              </w:rPr>
            </w:pPr>
            <w:r>
              <w:rPr>
                <w:rFonts w:ascii="Times New Roman" w:cs="Times New Roman" w:eastAsia="Times New Roman" w:hAnsi="Times New Roman"/>
                <w:sz w:val="18"/>
                <w:szCs w:val="18"/>
                <w:color w:val="auto"/>
              </w:rPr>
              <w:t>Amortization of intangibles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Accrual to cash .....................................................................</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r>
      <w:tr>
        <w:trPr>
          <w:trHeight w:val="21"/>
        </w:trPr>
        <w:tc>
          <w:tcPr>
            <w:tcW w:w="4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Total deferred income tax liabilities .................................</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r>
      <w:tr>
        <w:trPr>
          <w:trHeight w:val="419"/>
        </w:trPr>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Total deferred income tax assets ...............................................</w:t>
            </w:r>
          </w:p>
        </w:tc>
        <w:tc>
          <w:tcPr>
            <w:tcW w:w="1000" w:type="dxa"/>
            <w:vAlign w:val="bottom"/>
            <w:tcBorders>
              <w:top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r>
      <w:tr>
        <w:trPr>
          <w:trHeight w:val="20"/>
        </w:trPr>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-1691640</wp:posOffset>
                </wp:positionV>
                <wp:extent cx="14986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33.1999pt" to="323.3pt,-133.1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3956050</wp:posOffset>
                </wp:positionH>
                <wp:positionV relativeFrom="paragraph">
                  <wp:posOffset>-1281430</wp:posOffset>
                </wp:positionV>
                <wp:extent cx="14986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00.8999pt" to="323.3pt,-100.8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3956050</wp:posOffset>
                </wp:positionH>
                <wp:positionV relativeFrom="paragraph">
                  <wp:posOffset>-1003935</wp:posOffset>
                </wp:positionV>
                <wp:extent cx="14986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79.0499pt" to="323.3pt,-79.0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3956050</wp:posOffset>
                </wp:positionH>
                <wp:positionV relativeFrom="paragraph">
                  <wp:posOffset>-858520</wp:posOffset>
                </wp:positionV>
                <wp:extent cx="14986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67.5999pt" to="323.3pt,-67.5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3956050</wp:posOffset>
                </wp:positionH>
                <wp:positionV relativeFrom="paragraph">
                  <wp:posOffset>-447675</wp:posOffset>
                </wp:positionV>
                <wp:extent cx="14986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35.2499pt" to="323.3pt,-35.2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3956050</wp:posOffset>
                </wp:positionH>
                <wp:positionV relativeFrom="paragraph">
                  <wp:posOffset>-302895</wp:posOffset>
                </wp:positionV>
                <wp:extent cx="14986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23.8499pt" to="323.3pt,-23.8499pt" o:allowincell="f" strokecolor="#FFFFFF" strokeweight="0.9882pt"/>
            </w:pict>
          </mc:Fallback>
        </mc:AlternateContent>
      </w:r>
    </w:p>
    <w:p>
      <w:pPr>
        <w:spacing w:after="0" w:line="220" w:lineRule="exact"/>
        <w:rPr>
          <w:sz w:val="20"/>
          <w:szCs w:val="20"/>
          <w:color w:val="auto"/>
        </w:rPr>
      </w:pPr>
    </w:p>
    <w:p>
      <w:pPr>
        <w:jc w:val="both"/>
        <w:ind w:left="20" w:right="40"/>
        <w:spacing w:after="0" w:line="241" w:lineRule="auto"/>
        <w:rPr>
          <w:sz w:val="20"/>
          <w:szCs w:val="20"/>
          <w:color w:val="auto"/>
        </w:rPr>
      </w:pPr>
      <w:r>
        <w:rPr>
          <w:rFonts w:ascii="Times New Roman" w:cs="Times New Roman" w:eastAsia="Times New Roman" w:hAnsi="Times New Roman"/>
          <w:sz w:val="20"/>
          <w:szCs w:val="20"/>
          <w:color w:val="auto"/>
        </w:rPr>
        <w:t>As of December 31, 2025, the Company has net operating loss (“NOL”) carryforwards of approximately $9,900 and are subject to IRS code section 382 limitations. Of the total federal net operating loss, approximately $9,600 has an indefinite carryforward period as of December 31, 2025. The remaining federal and California net operating loss carryforwards will expire through December 31, 2045, unless previously utilized. NOL carryforwards may be subject to limitation under Sections 382 of the Internal Revenue Code, and similar state provisions which limit the amount carryforwards that can be utilized to offset future taxable income. In general, an ownership change, as defined by Sections 382, results from transactions increasing ownership of certain stockholders in the stock of the corporation by more than 50 percentage points over a three-year period. The Company does not anticipate performing a complete analysis of the limitation on the annual use of the net operating loss carryforwards until the time that it anticipates it will be able to utilize these tax attributes. This could impose an annual limit or reduction on the Company’s ability to utilize net operating loss carryforwards and could cause U.S. federal income taxes to be paid earlier than otherwise would be paid if such limitations were not in effect. The U.S. federal net operating loss carryforwards are stated before any such anticipated limitations. If a change in ownership were to have occurred, the Company’s NOL carryforwards could be eliminated or restricted.</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8 – GAIN ON SETTLEMENT OF ACCOUNTS PAYABLE</w:t>
      </w:r>
    </w:p>
    <w:p>
      <w:pPr>
        <w:spacing w:after="0" w:line="244" w:lineRule="exact"/>
        <w:rPr>
          <w:sz w:val="20"/>
          <w:szCs w:val="20"/>
          <w:color w:val="auto"/>
        </w:rPr>
      </w:pPr>
    </w:p>
    <w:p>
      <w:pPr>
        <w:jc w:val="both"/>
        <w:ind w:left="20" w:right="40"/>
        <w:spacing w:after="0" w:line="238" w:lineRule="auto"/>
        <w:rPr>
          <w:sz w:val="20"/>
          <w:szCs w:val="20"/>
          <w:color w:val="auto"/>
        </w:rPr>
      </w:pPr>
      <w:r>
        <w:rPr>
          <w:rFonts w:ascii="Times New Roman" w:cs="Times New Roman" w:eastAsia="Times New Roman" w:hAnsi="Times New Roman"/>
          <w:sz w:val="20"/>
          <w:szCs w:val="20"/>
          <w:color w:val="auto"/>
        </w:rPr>
        <w:t>On October 17, 2024, the Company entered into a Settlement Agreement with the Company’s former outside legal counsel. In connection with the agreement, the law firm agreed to settle the amount the Company owed them, which totaled $749, in exchange for a payment of $150. This resulted in a gain of $599 for the Company. In October 2024, the Company made the $150 payment to the law firm. As of December 31, 2024, no amounts were owed to the law firm.</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9 – SEGMENT INFORMATION</w:t>
      </w:r>
    </w:p>
    <w:p>
      <w:pPr>
        <w:spacing w:after="0" w:line="243" w:lineRule="exact"/>
        <w:rPr>
          <w:sz w:val="20"/>
          <w:szCs w:val="20"/>
          <w:color w:val="auto"/>
        </w:rPr>
      </w:pPr>
    </w:p>
    <w:p>
      <w:pPr>
        <w:jc w:val="both"/>
        <w:ind w:left="20" w:right="40"/>
        <w:spacing w:after="0" w:line="239"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segment and operates as a clinical-stage biopharmaceutical company. The Company’s current focus is on developing immunotherapy and cell therapies for the treatment of cancer. The Company’s Chief Operating Decision Maker (“CODM”) is the Chief Executive Officer, who reviews financial information presented and decides how to allocate resources based on net income (loss). Net income (loss) is used for evaluating financial performance.</w:t>
      </w:r>
    </w:p>
    <w:p>
      <w:pPr>
        <w:sectPr>
          <w:pgSz w:w="12240" w:h="15840" w:orient="portrait"/>
          <w:cols w:equalWidth="0" w:num="1">
            <w:col w:w="10140"/>
          </w:cols>
          <w:pgMar w:left="1060" w:top="1088" w:right="104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140"/>
          </w:cols>
          <w:pgMar w:left="1060" w:top="1088" w:right="1040" w:bottom="158" w:gutter="0" w:footer="0" w:header="0"/>
          <w:type w:val="continuous"/>
        </w:sectPr>
      </w:pPr>
    </w:p>
    <w:bookmarkStart w:id="120" w:name="page121"/>
    <w:bookmarkEnd w:id="120"/>
    <w:p>
      <w:pPr>
        <w:jc w:val="both"/>
        <w:ind w:left="20" w:right="40"/>
        <w:spacing w:after="0" w:line="239" w:lineRule="auto"/>
        <w:rPr>
          <w:sz w:val="20"/>
          <w:szCs w:val="20"/>
          <w:color w:val="auto"/>
        </w:rPr>
      </w:pPr>
      <w:r>
        <w:rPr>
          <w:rFonts w:ascii="Times New Roman" w:cs="Times New Roman" w:eastAsia="Times New Roman" w:hAnsi="Times New Roman"/>
          <w:sz w:val="20"/>
          <w:szCs w:val="20"/>
          <w:color w:val="auto"/>
        </w:rPr>
        <w:t>Significant segment expenses include research and development, officer compensation,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Years ended December 31,</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260" w:type="dxa"/>
            <w:vAlign w:val="bottom"/>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less officer compensation ...............................................</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compensation and wages ................................................................................</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 .............................................................................................</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r>
      <w:tr>
        <w:trPr>
          <w:trHeight w:val="21"/>
        </w:trPr>
        <w:tc>
          <w:tcPr>
            <w:tcW w:w="6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c>
          <w:tcPr>
            <w:tcW w:w="20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r>
      <w:tr>
        <w:trPr>
          <w:trHeight w:val="20"/>
        </w:trPr>
        <w:tc>
          <w:tcPr>
            <w:tcW w:w="6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6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6349365</wp:posOffset>
                </wp:positionH>
                <wp:positionV relativeFrom="paragraph">
                  <wp:posOffset>-1668145</wp:posOffset>
                </wp:positionV>
                <wp:extent cx="6413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1">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31.3499pt" to="505pt,-131.3499pt" o:allowincell="f" strokecolor="#FFFFFF" strokeweight="0.9883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-1523365</wp:posOffset>
                </wp:positionV>
                <wp:extent cx="6350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119.9499pt" to="404.15pt,-119.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-1523365</wp:posOffset>
                </wp:positionV>
                <wp:extent cx="6413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119.9499pt" to="505pt,-119.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-316865</wp:posOffset>
                </wp:positionV>
                <wp:extent cx="635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5pt,-24.9499pt" to="404.15pt,-24.9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6349365</wp:posOffset>
                </wp:positionH>
                <wp:positionV relativeFrom="paragraph">
                  <wp:posOffset>-316865</wp:posOffset>
                </wp:positionV>
                <wp:extent cx="6413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95pt,-24.9499pt" to="505pt,-24.9499pt" o:allowincell="f" strokecolor="#FFFFFF" strokeweight="0.9882pt"/>
            </w:pict>
          </mc:Fallback>
        </mc:AlternateContent>
      </w:r>
    </w:p>
    <w:p>
      <w:pPr>
        <w:ind w:left="20"/>
        <w:spacing w:after="0" w:line="238" w:lineRule="auto"/>
        <w:rPr>
          <w:sz w:val="20"/>
          <w:szCs w:val="20"/>
          <w:color w:val="auto"/>
        </w:rPr>
      </w:pPr>
      <w:r>
        <w:rPr>
          <w:rFonts w:ascii="Times New Roman" w:cs="Times New Roman" w:eastAsia="Times New Roman" w:hAnsi="Times New Roman"/>
          <w:sz w:val="20"/>
          <w:szCs w:val="20"/>
          <w:b w:val="1"/>
          <w:bCs w:val="1"/>
          <w:color w:val="auto"/>
        </w:rPr>
        <w:t>NOTE 10 – SUBSEQUENT EVENTS</w:t>
      </w:r>
    </w:p>
    <w:p>
      <w:pPr>
        <w:spacing w:after="0" w:line="245" w:lineRule="exact"/>
        <w:rPr>
          <w:sz w:val="20"/>
          <w:szCs w:val="20"/>
          <w:color w:val="auto"/>
        </w:rPr>
      </w:pPr>
    </w:p>
    <w:p>
      <w:pPr>
        <w:jc w:val="both"/>
        <w:ind w:left="20" w:right="40"/>
        <w:spacing w:after="0" w:line="239" w:lineRule="auto"/>
        <w:rPr>
          <w:sz w:val="20"/>
          <w:szCs w:val="20"/>
          <w:color w:val="auto"/>
        </w:rPr>
      </w:pPr>
      <w:r>
        <w:rPr>
          <w:rFonts w:ascii="Times New Roman" w:cs="Times New Roman" w:eastAsia="Times New Roman" w:hAnsi="Times New Roman"/>
          <w:sz w:val="20"/>
          <w:szCs w:val="20"/>
          <w:color w:val="auto"/>
        </w:rPr>
        <w:t>In January 2026, the Company filed a shelf registration statement on Form S-3 (SEC File No. 333-292686) registering up to $75 million in aggregate securities and, in conjunction therewith, filed a prospectus supplement for the sale of up to $4.5 million of common stock pursuant to an At the Market Offering Agreement (the “ATM Agreement”) with H.C. Wainwright and Co., LLC (the “Placement Agent”). Under the ATM Agreement, the Placement Agent will be entitled to 3.0% of the gross proceeds of any sales made under the ATM Agreement. As a result of the ATM offering, subsequent to December 31, 2025, the Company raised $385 through the sale of 589,845 shares of its common stock.</w:t>
      </w:r>
    </w:p>
    <w:p>
      <w:pPr>
        <w:spacing w:after="0" w:line="249" w:lineRule="exact"/>
        <w:rPr>
          <w:sz w:val="20"/>
          <w:szCs w:val="20"/>
          <w:color w:val="auto"/>
        </w:rPr>
      </w:pPr>
    </w:p>
    <w:p>
      <w:pPr>
        <w:jc w:val="both"/>
        <w:ind w:left="20" w:right="40"/>
        <w:spacing w:after="0"/>
        <w:rPr>
          <w:sz w:val="20"/>
          <w:szCs w:val="20"/>
          <w:color w:val="auto"/>
        </w:rPr>
      </w:pPr>
      <w:r>
        <w:rPr>
          <w:rFonts w:ascii="Times New Roman" w:cs="Times New Roman" w:eastAsia="Times New Roman" w:hAnsi="Times New Roman"/>
          <w:sz w:val="20"/>
          <w:szCs w:val="20"/>
          <w:color w:val="auto"/>
        </w:rPr>
        <w:t>On March 2, 2026, the Company entered into a binding term sheet with Celyn Therapeutics, Inc., a privately held biotechnology company,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$15 million payable at NDA or BLA FDA, with such payment to be made in combination of cash and stock and (ii) 2% royalties from net revenue generated from sales in the U.S. for the life of the intellectual property. Closing is subject to satisfactory completion of due diligence and negotiation of a definitive acquisition agreement.</w:t>
      </w:r>
    </w:p>
    <w:p>
      <w:pPr>
        <w:spacing w:after="0" w:line="249" w:lineRule="exact"/>
        <w:rPr>
          <w:sz w:val="20"/>
          <w:szCs w:val="20"/>
          <w:color w:val="auto"/>
        </w:rPr>
      </w:pPr>
    </w:p>
    <w:p>
      <w:pPr>
        <w:jc w:val="both"/>
        <w:ind w:left="20" w:right="40"/>
        <w:spacing w:after="0" w:line="239" w:lineRule="auto"/>
        <w:rPr>
          <w:sz w:val="20"/>
          <w:szCs w:val="20"/>
          <w:color w:val="auto"/>
        </w:rPr>
      </w:pPr>
      <w:r>
        <w:rPr>
          <w:rFonts w:ascii="Times New Roman" w:cs="Times New Roman" w:eastAsia="Times New Roman" w:hAnsi="Times New Roman"/>
          <w:sz w:val="20"/>
          <w:szCs w:val="20"/>
          <w:color w:val="auto"/>
        </w:rPr>
        <w:t>On March 27, 2026, the Company entered into an additional statement of work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an approximate total of $2,000 in consideration, which will be paid over time as each of the 13 stages of the Lonza Amendment are completed. See Note 6 for further details.</w:t>
      </w:r>
    </w:p>
    <w:p>
      <w:pPr>
        <w:sectPr>
          <w:pgSz w:w="12240" w:h="15840" w:orient="portrait"/>
          <w:cols w:equalWidth="0" w:num="1">
            <w:col w:w="10140"/>
          </w:cols>
          <w:pgMar w:left="1060" w:top="1088" w:right="104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140"/>
          </w:cols>
          <w:pgMar w:left="1060" w:top="1088" w:right="1040" w:bottom="158" w:gutter="0" w:footer="0" w:header="0"/>
          <w:type w:val="continuous"/>
        </w:sectPr>
      </w:pPr>
    </w:p>
    <w:bookmarkStart w:id="121" w:name="page122"/>
    <w:bookmarkEnd w:id="121"/>
    <w:p>
      <w:pPr>
        <w:jc w:val="both"/>
        <w:spacing w:after="0" w:line="235"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6"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20"/>
          <w:szCs w:val="20"/>
          <w:color w:val="auto"/>
        </w:rPr>
        <w:t xml:space="preserve">As discussed in Form 8-K filed with the SEC on April 28, 2025 (the “Form 8-K”), which is incorporated herein by reference </w:t>
      </w:r>
      <w:r>
        <w:rPr>
          <w:rFonts w:ascii="MS Mincho" w:cs="MS Mincho" w:eastAsia="MS Mincho" w:hAnsi="MS Mincho"/>
          <w:sz w:val="20"/>
          <w:szCs w:val="20"/>
          <w:color w:val="auto"/>
        </w:rPr>
        <w:t>，</w:t>
      </w:r>
      <w:r>
        <w:rPr>
          <w:rFonts w:ascii="Times New Roman" w:cs="Times New Roman" w:eastAsia="Times New Roman" w:hAnsi="Times New Roman"/>
          <w:sz w:val="20"/>
          <w:szCs w:val="20"/>
          <w:color w:val="auto"/>
        </w:rPr>
        <w:t>on April 23, 2025, the Audit Committee of the Company selected Weinberg and Company, P.A. (“Weinberg”) to serve as the Company’s independent registered public accounting firm for the review of its Quarterly Reports on Form 10-Q and Annual Report on Form 10-K for the fiscal year ending December 31, 2025. As a result, the Audit Committee dismissed Marcum LLP (“Marcum”) and Marcum would no longer serve as the Company’s independent registered public accounting firm, effective as of April 23, 2025.</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Marcum’s audit report on our financial statements for the years ended December 31, 2024 and 2023 contained no adverse opinion or disclaimer of opinion, nor was it qualified or modified as to uncertainty, audit scope or accounting principles, except that the audit report on the financial statements of the Company for the year ended December 31, 2023 was modified as to contain uncertainty about the Company’s ability to continue as a going concern.</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the years ended December 31, 2024 and 2023 and through the date of the Form 8-K, the Company had no “disagreements” (as defined in Regulation S-K, Item 304(a)(1)(iv) and the related instructions) with Marcum on any matter of accounting principles or practices, financial statement disclosure, or auditing scope or procedures, which disagreements if not resolved to the satisfaction of Marcum would have caused them to make reference thereto in their reports on the financial statements for such periods.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There were no reportable events as defined in item 304(a)(1)(v) of Regulation S-K for the years ended December 31, 2024 or 2023 except for the material weaknesses in internal control over financial reporting for the fiscal years ended December 31, 2024 and 2023, as disclosed in Part II, Item 9A of the Company’s Annual Report on Form 10-K for the years ended December 31, 2024 and 2023.</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For the years ended December 31, 2024 and 2023, prior to retaining Weinberg, the Company did not consult with Weinberg regarding either: (i) the application of accounting principles to a specified transaction, either contemplated or proposed, or the type of audit opinion that might be rendered on the Company’s financial statements, and neither a written report nor oral advice was provided to the Company that Weinberg concluded was an important factor considered by the Company in reaching a decision as to the accounting, auditing or financial reporting issue; or (ii) any matter that was the subject of a “disagreement” or a “reportable event” (as those terms are defined in Item 304(a)(1)(iv) and (a)(1)(v) of Regulation S-K,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for timely decisions regarding required disclosure. Under the supervision and with the participation of our management, including our Chief Executive Officer and Chief Financial Officer, we conducted an evaluation of the effectiveness of our disclosure controls and procedures as of December 31, 2025. Based on this evaluation, our Chief Executive Officer and Chief Financial Officer concluded that our disclosure controls and procedures were not effective at a reasonable assurance level as of December 31, 2025.</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80"/>
          </w:cols>
          <w:pgMar w:left="1080" w:top="1088" w:right="1080" w:bottom="156"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of December 31, 2025, our management carried out an evaluation of the effectiveness of the design and operation of our disclosure controls and procedures. Such evaluation was carried out by our Chief Financial Officer under the supervision of our Chief Executive Officer. Based on this evaluation, management concluded that our disclosure controls and procedures were, and continue to be, ineffective as of December 31, 2025. Based on the foregoing, our management concluded that our internal controls over the following financial reporting areas to be material weaknesses:</w:t>
      </w:r>
    </w:p>
    <w:p>
      <w:pPr>
        <w:spacing w:after="0" w:line="246" w:lineRule="exact"/>
        <w:rPr>
          <w:sz w:val="20"/>
          <w:szCs w:val="20"/>
          <w:color w:val="auto"/>
        </w:rPr>
      </w:pPr>
    </w:p>
    <w:p>
      <w:pPr>
        <w:jc w:val="both"/>
        <w:ind w:left="360" w:hanging="360"/>
        <w:spacing w:after="0" w:line="239" w:lineRule="auto"/>
        <w:tabs>
          <w:tab w:leader="none" w:pos="3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our size and stage of development, segregation of all conflicting duties is not always possible or economically feasible. During the year, we lacked sufficient review procedures and segregation of duties such that proper review had not been performed by someone other than the preparer, including manual journal entries, and that process documentation is lacking for review and monitoring controls over the financial statements closing process.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There have been no changes in the Company’s internal control over financial reporting during the three months ended December 31, 2025 that has materially affected, or is reasonably likely to materially affect, the Company’s internal control over financial reporting. Management will continue to monitor and evaluate the effectiveness of our internal controls and procedures over financial reporting as necessary.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Rules 13a-15(f) or 15d-15(f) of the Exchange Act) that occurred during the period covered by this Annual Report that materially affected, or are reasonably likely to materially affect, our internal control over financial reporting. However, the Company will continue to monitor and work to address the underlying causes of material weaknesses and control deficiencies. Such material weaknesses and control deficiencies will not be fully remediated until the Company has concluded that its internal controls are operating effectively for a sufficient period of time.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10b5-1 Plan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December 16, 2025, John S. Yu, the Company’s Chief Executive Officer and Chairman of the Board of Directors, adopted a Rule 10b5-1 trading plan. Mr. Yu’s Rule 10b5-1 trading plan is intended to satisfy the affirmative defense conditions of Rule 10b5-1(c) and provides for the potential sale of up to 3,500,000 shares of the Company’s common stock at specified limit prices ranging from $2.50 to $8.00 per share from March 16, 2026 to December 31,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080" w:top="1078" w:right="1080" w:bottom="156"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00" w:lineRule="exact"/>
        <w:rPr>
          <w:sz w:val="20"/>
          <w:szCs w:val="20"/>
          <w:color w:val="auto"/>
        </w:rPr>
      </w:pPr>
    </w:p>
    <w:p>
      <w:pPr>
        <w:spacing w:after="0" w:line="276" w:lineRule="exact"/>
        <w:rPr>
          <w:sz w:val="20"/>
          <w:szCs w:val="20"/>
          <w:color w:val="auto"/>
        </w:rPr>
      </w:pPr>
    </w:p>
    <w:p>
      <w:pPr>
        <w:ind w:right="2280"/>
        <w:spacing w:after="0" w:line="472" w:lineRule="auto"/>
        <w:rPr>
          <w:sz w:val="20"/>
          <w:szCs w:val="20"/>
          <w:color w:val="auto"/>
        </w:rPr>
      </w:pPr>
      <w:r>
        <w:rPr>
          <w:rFonts w:ascii="Times New Roman" w:cs="Times New Roman" w:eastAsia="Times New Roman" w:hAnsi="Times New Roman"/>
          <w:sz w:val="20"/>
          <w:szCs w:val="20"/>
          <w:b w:val="1"/>
          <w:bCs w:val="1"/>
          <w:color w:val="auto"/>
        </w:rPr>
        <w:t>ITEM 10 - DIRECTORS, EXECUTIVE OFFICERS AND CORPORATE GOVERNANCE Executive Officers and Directors</w:t>
      </w:r>
    </w:p>
    <w:p>
      <w:pPr>
        <w:spacing w:after="0" w:line="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Set forth in the table below are the name, age, title of each executive officer and director, followed by a detailed description of their business experience and qualifications.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Age</w:t>
            </w:r>
          </w:p>
        </w:tc>
        <w:tc>
          <w:tcPr>
            <w:tcW w:w="20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Position(s)</w:t>
            </w:r>
          </w:p>
        </w:tc>
      </w:tr>
      <w:tr>
        <w:trPr>
          <w:trHeight w:val="228"/>
        </w:trPr>
        <w:tc>
          <w:tcPr>
            <w:tcW w:w="40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John S. Yu, M.D.</w:t>
            </w:r>
          </w:p>
        </w:tc>
        <w:tc>
          <w:tcPr>
            <w:tcW w:w="80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61</w:t>
            </w:r>
          </w:p>
        </w:tc>
        <w:tc>
          <w:tcPr>
            <w:tcW w:w="200" w:type="dxa"/>
            <w:vAlign w:val="bottom"/>
          </w:tcPr>
          <w:p>
            <w:pPr>
              <w:spacing w:after="0"/>
              <w:rPr>
                <w:sz w:val="19"/>
                <w:szCs w:val="19"/>
                <w:color w:val="auto"/>
              </w:rPr>
            </w:pPr>
          </w:p>
        </w:tc>
        <w:tc>
          <w:tcPr>
            <w:tcW w:w="504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rPr>
              <w:t>Chief Executive Officer and Chairman of the Board</w:t>
            </w: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Neil Bhowmick, Ph.D.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Scientific Officer</w:t>
            </w:r>
          </w:p>
        </w:tc>
      </w:tr>
      <w:tr>
        <w:trPr>
          <w:trHeight w:val="23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Ramachandran Murali. Ph.D.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Vice President of Research and Development</w:t>
            </w:r>
          </w:p>
        </w:tc>
      </w:tr>
      <w:tr>
        <w:trPr>
          <w:trHeight w:val="23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Doug Samuelson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66</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Hyun W. Bae, M.D.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56</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Independent Director</w:t>
            </w: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Hansoo Michael Keyoung, M.D., Ph.D.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Independent Director</w:t>
            </w:r>
          </w:p>
        </w:tc>
      </w:tr>
      <w:tr>
        <w:trPr>
          <w:trHeight w:val="23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Rahul Singhvi, Sc.D., MBA</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w:t>
            </w:r>
          </w:p>
        </w:tc>
        <w:tc>
          <w:tcPr>
            <w:tcW w:w="2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Independent Director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3072130</wp:posOffset>
                </wp:positionH>
                <wp:positionV relativeFrom="paragraph">
                  <wp:posOffset>-1035050</wp:posOffset>
                </wp:positionV>
                <wp:extent cx="12827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9pt,-81.4999pt" to="252pt,-81.4999pt" o:allowincell="f" strokecolor="#FFFFFF" strokeweight="0.9882pt"/>
            </w:pict>
          </mc:Fallback>
        </mc:AlternateConten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John S. Yu, M.D., CEO and Chairman of the Board of Directors</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 We believe Dr. Yu, with his substantial experience in cancer research as both a clinician and investigator, is qualified to serve on our board of directors.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Neil Bhowmick, Ph.D., Chief Scientific Officer</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Dr. Bhowmick, our Chief Scientific Officer, has more than 20 years of broad biochemistry experience filing and prosecuting patents in therapeutics and devices, published in peer-reviewed journals (110 publications) leading foundational and pre-clinical cancer studies, obtaining regulatory approvals, and conducting clinical trials. Dr. Bhowmick discovered the role of fibroblasts in cancer therapy resistance and has used this finding to extend the time of cancer remission in multiple cancer types in preclinical and clinical examples as a founder and CEO of Enviro Therapeutics Inc. He trained at Vanderbilt University and is the Professor of Medicine at Cedars-Sinai Medical Center and Director of the Cancer Biology Program at Cedars-Sinai Cancer. He is on the Editorial Board of four scientific journals and charter member of a NIH grant study section. Dr. Bhowmick was a Consultant at Celgene (currently Bristol Myers Squibb, a New York Stock Exchange-listed company) in 2009, Xencor Inc., a Nasdaq-listed company, from 2019 to 2020 and at Tracon, a Nasdaq-listed company, from 2014 to 2019. He currently serves on the Scientific Advisory Board of FibroBiologics. Dr. Bhowmick has received NCI/NIH funding for over 15 years, has been cited over 15,000 times, and holds six patents for biomarker detection platforms and stromal targeted therapeutics (inclusive of ENV 105 and ENV 205</w:t>
      </w:r>
      <w:r>
        <w:rPr>
          <w:rFonts w:ascii="Times New Roman" w:cs="Times New Roman" w:eastAsia="Times New Roman" w:hAnsi="Times New Roman"/>
          <w:sz w:val="20"/>
          <w:szCs w:val="20"/>
          <w:b w:val="1"/>
          <w:bCs w:val="1"/>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Ramachandran Murali, Ph.D., Vice President of Research and Development</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Dr. Murali, our Vice President of Research and Development, is an established structural biologist with expertise in macromolecular crystallography, computational biology, drug discovery, immunology, and cancer biology. Using these skills, Dr. Murali advanced a unique technology for creating small peptidomimetics and small molecule drugs that target protein-protein/DNA interactions for diagnostic and therapeutic applications in areas like cancer biology, immunotherapy, and autoimmune pathologies. Dr. Murali co-founded three biotech startup companies, including Xcyte Therapeutics, a cancer immunotherapy company founded in Seattle, WA in 1996, Ception Therapeutics, Inc, an immunotherapeutic pharmaceutical company founded in Philadelphia, PA in 2003 and Nidus, CA, a immunotherapeutic company founded in Los Angeles, CA in</w:t>
      </w:r>
    </w:p>
    <w:p>
      <w:pPr>
        <w:sectPr>
          <w:pgSz w:w="12240" w:h="15840" w:orient="portrait"/>
          <w:cols w:equalWidth="0" w:num="1">
            <w:col w:w="10080"/>
          </w:cols>
          <w:pgMar w:left="1080" w:top="1078" w:right="1080" w:bottom="156"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080" w:top="1078" w:right="1080" w:bottom="156" w:gutter="0" w:footer="0" w:header="0"/>
          <w:type w:val="continuous"/>
        </w:sectPr>
      </w:pPr>
    </w:p>
    <w:bookmarkStart w:id="124" w:name="page125"/>
    <w:bookmarkEnd w:id="124"/>
    <w:p>
      <w:pPr>
        <w:jc w:val="both"/>
        <w:spacing w:after="0"/>
        <w:rPr>
          <w:sz w:val="20"/>
          <w:szCs w:val="20"/>
          <w:color w:val="auto"/>
        </w:rPr>
      </w:pPr>
      <w:r>
        <w:rPr>
          <w:rFonts w:ascii="Times New Roman" w:cs="Times New Roman" w:eastAsia="Times New Roman" w:hAnsi="Times New Roman"/>
          <w:sz w:val="20"/>
          <w:szCs w:val="20"/>
          <w:color w:val="auto"/>
        </w:rPr>
        <w:t>2005. Dr. Murali’s accomplishments also include developing small molecule agonist/antagonists for numerous cell surface receptor complexes, including members of the TNFR super family. Recently, he targeted various transcription factors, such as Onecut-2, for cancer therapy. Dr. Murali has over 10 years of experience in collaborating with several biotech companies and is a co-inventor of more than 10 patents. Dr. Murali obtained his doctoral degree in Biophysics from the University of Madras, one of the pioneering institutes for structural biology in India. Upon graduation, he completed his post-doctoral training at Columbia University and the Wistar Institute (Philadelphia, PA). Later, he joined the University of Pennsylvania as a faculty member and rose to the position of Associate Professor. He is currently a Professor in the Department of Biomedical Sciences, Research Division of Immunology at Cedars-Sinai Medical Center (Los Angeles, CA).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Doug Samuelson, Chief Financial Officer</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Mr. Samuelson has served as our external Chief Financial Officer since 2019. Mr. Samuelson is a finance and accounting professional with over 25 years of experience. From 2016 to 2022, Mr. Samuelson served as the Chief Financial Officer of Wellness Center USA, Inc. in Tucson, Arizona. From 2016 to March 2020, Mr. Samuelson served as the Director of Accounting of Second Sight Medical Products, Inc., and in this position, managed all accounting functions, including all general ledger close functions, tax reporting, external audit responsibilities, banking and technical accounting issues. From 2018 to 2019, Mr. Samuelson served as the Chief Financial Officer of AdvaVet, Inc., in Los Angeles, California, the U.S. subsidiary of Swedish pharmaceutical company, Oasmia Pharmaceutical AB (NASDAQ: OASM). From 2016 to 2018, Mr. Samuelson was the Chief Financial Officer of Solis Tek, Inc. (OTC: GNAL), where he handled all financial reporting with the SEC. Mr. Samuelson obtained a Bachelor of Science in Accounting from University of Utah, College of Business, and obtained a Master of Science in Computer Science from California State University, Northridge, School of Engineering. He is also a Certified Public Accountant in the State of California.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Hyun W. Bae, M.D., Independent Director</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Dr. Hyun W. Bae has served on our board of directors as an independent director since September 9, 2020. Dr. Bae is an orthopaedic surgeon in private practice in Santa Monica, California, and has been appointed Professor in Orthopaedic Surgery at Cedars-Sinai Medical Center, the Director of Cedars’ Education and Fellowship program, and a clinical partner of the Orthopaedic Stem Cell and Tissue Engineering Laboratory. Since 2010, Dr. Bae has served as the Chief Medical Officer and a director of Prosidyan, a company that develops proprietary fiber-based bioactive glass products. Dr. Bae has served as a Scientific Advisory Board Member of Mesoblast since 2008, Engage Surgical since 2018, and Spine Biopharma since 2019. He also served as a Scientific Advisory Board Member of Tissuegene from 2008 to 2015. Dr. Bae is a 20-year veteran of the drug development industry and is a renowned researcher and inventor. He was principal investigator for four FDA-approved randomized clinical trials and has completed 30 clinical studies throughout his career. Dr. Bae also has authored 60 published scientific papers, written five review articles and holds 30 patents. Dr. Bae obtained a Biomechanics degree from Columbia University and a Doctor of Medicine degree, cum laude, from Yale University and is a former NIH Howard Hughes Research Fellow in Bethesda, Maryland. We believe that Dr. Bae is qualified to serve on our board of directors because of his industry and technical experience, including his operational experience in drug discovery and development, and service on multiple company boards.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Hansoo Michael Keyoung, M.D., Ph.D., Independent Director</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Dr. Hansoo Michael Keyoung has served on our board of directors as an independent director since our IPO in September 2024. For over 20 years, Dr. Keyoung has led a successful career as a physician, healthcare executive, and investor in the United States, Europe and Asia. Since 2017, Dr. Keyoung has served as the head of North America for CBC Group, a healthcare-dedicated private equity firm with over $4 billion in assets under management. He has served as Board Chair of AffaMed Therapeutics since 2019, a director of Graybug Vision, a Nasdaq-listed company, since 2019, and a director of InxMed since 2019. From 2015 to 2017, Dr. Keyoung also served as the Chief Executive Officer of Genexine, a KOSDAQ-listed biotech company with a $1 billion plus market cap focused on developing innovative biologic drugs for cancer and rare diseases. During his tenure as Chief Executive Officer of Genexine, he successfully helped lead clinical development in Europe and Asia, raised $100 million in equity, and set up partnerships with Merck, Fosun Pharma, Tasly Pharma, and Kalbe Pharma. From 2013 to 2015, he also served as President of Catalyst Biosciences, a Nasdaq-listed company and a clinical-stage hemophilia and ophthalmology company that partnered with Pfizer, MedImmune, and Isu Abxis. Additionally, he has experience advising Eli Lilly, Bausch &amp; Lomb, and Samsung Electronics/Biologics on Asian expansion, global drug development and commercial partnership strategies. Dr. Keyoung has a Doctor of Medicine degree and a Doctor of Philosophy degree in neuroscience and neurology from Cornell University Weill Medical College and Memorial Sloan Kettering. He was also a Biomedical Fellow at Rockefeller University and Memorial Sloan Kettering. We believe that Dr. Keyoung is qualified to serve on our board of directors because of his extensive experience serving in management and on boards of directors of public company, his experience in private equity investing in healthcare companies, and his extensive advisory work to industry-leading healthcare companies.</w:t>
      </w:r>
    </w:p>
    <w:p>
      <w:pPr>
        <w:sectPr>
          <w:pgSz w:w="12240" w:h="15840" w:orient="portrait"/>
          <w:cols w:equalWidth="0" w:num="1">
            <w:col w:w="10080"/>
          </w:cols>
          <w:pgMar w:left="1080" w:top="1088" w:right="1080" w:bottom="15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080" w:top="1088" w:right="1080" w:bottom="156"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auto"/>
        </w:rPr>
        <w:t>Rahul Singhvi, Sc.D., MBA, Independent Director</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Dr. Rahul Singhvi has served on our board of directors as an independent director since December 10, 2024. Dr. Singhvi is a global leader in the Life Sciences industry and is cofounder of the US based biomanufacturing company, Resilience (National Resilience, Inc.). Prior to cofounding Resilience in 2020, from October 2019 to July 2020, Dr. Singhvi was an Operating Partner at Flagship Pioneering, where he founded and operated companies launched from Flagship’s innovation foundry, Flagship Venture Labs. Before joining Flagship, from September 2013 until October 2019, Rahul was the Chief Operating Officer at the Vaccine Business Unit of Takeda Pharmaceutical Co Ltd. (NYSE: TAK) where he led worldwide vaccine manufacturing operations. Before joining Takeda, from August 2005 to April 2011, Dr. Singhvi was President and CEO of Novavax, Inc. (Nasdaq:NVAX) where he led the company’s transformation into a global vaccine player. Dr. Singhvi’s career began at Merck</w:t>
      </w:r>
    </w:p>
    <w:p>
      <w:pPr>
        <w:spacing w:after="0" w:line="6" w:lineRule="exact"/>
        <w:rPr>
          <w:sz w:val="20"/>
          <w:szCs w:val="20"/>
          <w:color w:val="auto"/>
        </w:rPr>
      </w:pPr>
    </w:p>
    <w:p>
      <w:pPr>
        <w:jc w:val="both"/>
        <w:spacing w:after="0"/>
        <w:tabs>
          <w:tab w:leader="none" w:pos="20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in 1994, where he held several positions in R&amp;D and manufacturing. Dr. Singhvi serves on the Board of Trustees of the Keck Graduate Institute, and on the Board of Directors for Codexis (Nasdaq:CDXS), and Garuda Therapeutics (private). Dr. Singhvi graduated as the top ranked chemical engineer from the Indian Institute of Technology, Kanpur, India and obtained both his M.S. and Sc.D. degrees in chemical engineering from MIT. He received an MBA from the Wharton School of the University of Pennsylvania, where he graduated as a Palmer Scholar. Because of Dr. Signhvi’s experience and knowledge in the operation and leadership of early-stage public healthcare companies, we believe he will be able to provide valuable insights and contributions to our Board.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among our directors and executive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Composition of Our Board of Directors</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business and affairs are organized under the direction of our board of directors, which consists of four members, each of whom are elected to serve for one year terms to hold office until the next annual meeting of our stockholders and until a successor is appointed and qualified, or until their removal, resignation, or death. The primary responsibilities of our board of directors are to provide oversight, strategic guidance, counselling, and direction to our management. Our board of directors meets on a regular basis and additionally as required.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three of our four directors, each of Drs. Bae, Keyoung and Singhvi, are “independent” directors in accordance with the rules and regulations of NYSE American.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Involvement in Certain Legal Proceedings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best of our knowledge, none of our directors or executive officers has, during the past ten years:</w:t>
      </w:r>
    </w:p>
    <w:p>
      <w:pPr>
        <w:spacing w:after="0" w:line="174" w:lineRule="exact"/>
        <w:rPr>
          <w:sz w:val="20"/>
          <w:szCs w:val="20"/>
          <w:color w:val="auto"/>
        </w:rPr>
      </w:pPr>
    </w:p>
    <w:p>
      <w:pPr>
        <w:ind w:left="360" w:hanging="360"/>
        <w:spacing w:after="0" w:line="235" w:lineRule="auto"/>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convicted in a criminal proceeding or been subject to a pending criminal proceeding (excluding traffic violations and other minor offences);</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83"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80"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w:t>
      </w:r>
    </w:p>
    <w:p>
      <w:pPr>
        <w:spacing w:after="0" w:line="81" w:lineRule="exact"/>
        <w:rPr>
          <w:rFonts w:ascii="Times New Roman" w:cs="Times New Roman" w:eastAsia="Times New Roman" w:hAnsi="Times New Roman"/>
          <w:sz w:val="20"/>
          <w:szCs w:val="20"/>
          <w:color w:val="auto"/>
        </w:rPr>
      </w:pPr>
    </w:p>
    <w:p>
      <w:pPr>
        <w:jc w:val="both"/>
        <w:ind w:left="360" w:hanging="360"/>
        <w:spacing w:after="0"/>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ectPr>
          <w:pgSz w:w="12240" w:h="15840" w:orient="portrait"/>
          <w:cols w:equalWidth="0" w:num="1">
            <w:col w:w="10080"/>
          </w:cols>
          <w:pgMar w:left="1080" w:top="1078" w:right="1080" w:bottom="156"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80"/>
          </w:cols>
          <w:pgMar w:left="1080" w:top="1078" w:right="1080" w:bottom="156" w:gutter="0" w:footer="0" w:header="0"/>
          <w:type w:val="continuous"/>
        </w:sectPr>
      </w:pPr>
    </w:p>
    <w:bookmarkStart w:id="126" w:name="page127"/>
    <w:bookmarkEnd w:id="126"/>
    <w:p>
      <w:pPr>
        <w:jc w:val="both"/>
        <w:ind w:left="360" w:hanging="360"/>
        <w:spacing w:after="0" w:line="239" w:lineRule="auto"/>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Board of Directors’ Role in Risk Oversight</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board of directors oversees that the assets of our Company are properly safeguarded, that the appropriate financial and other controls are maintained, and that our business is conducted wisely and in compliance with applicable laws and regulations and proper governance. Included in these responsibilities is the board of directors’ oversight of the various risks facing our company. In this regard, our board of directors seeks to understand and oversee critical business risks. Our board of directors does not view risk in isolation. Risks are considered in virtually every business decision and as part of our business strategy. Our board of directors recognizes that it is neither possible nor prudent to eliminate all risk. Indeed, purposeful and appropriate risk-taking is essential for our company to be competitive on a global basis and to achieve its objectives.</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While the board of directors oversees risk management, company management is charged with managing risk. Management communicates routinely with the board of directors and individual directors on the significant risks identified and how they are being managed. Directors are free to, and indeed often do, communicate directly with senior management.</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board of directors administers its risk oversight function as a whole by making risk oversight a matter of collective consideration; however, much of the work is delegated to committees, which will meet regularly and report back to the full board of directors. We have established a standing audit committee, compensation committee and nominating and corporate governance committee of our board of directors. The audit committee will oversee risks related to our financial statements, the financial reporting process, accounting and legal matters, the compensation committee will evaluate the risks and rewards associated with our compensation philosophy and programs, and the nominating and corporate governance committee will evaluate risk associated with management decisions and strategic direction.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Our Board of Directors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board of directors has established an audit committee, a compensation committee, and a nominating and corporate governance committee, each of which is made up of independent directors.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application rules and regulation of the SEC and the NYSE American rules and regulations, which have been posted to our website at https://kairospharma.com. Our board of directors may establish other committees as it deems necessary or appropriate from time to time.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audit committee consists of Dr. Michael Keyoung, Dr. Hyun W. Bae and Dr. Rahul Singhvi, each of whom our board of directors has determined satisfies the independence requirements under the NYSE American rule and regulations and Rule 10A-3(b)(1) of the Exchange Act. The chair of our audit committee is Dr. Michael Keyoung, whom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233" w:lineRule="exact"/>
        <w:rPr>
          <w:sz w:val="20"/>
          <w:szCs w:val="20"/>
          <w:color w:val="auto"/>
        </w:rPr>
      </w:pPr>
    </w:p>
    <w:p>
      <w:pPr>
        <w:ind w:left="360" w:hanging="360"/>
        <w:spacing w:after="0"/>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helping our board of directors oversee our corporate accounting and financial reporting processes;</w:t>
      </w:r>
    </w:p>
    <w:p>
      <w:pPr>
        <w:spacing w:after="0" w:line="81"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selection, engagement, qualifications, independence and performance of a qualified firm to serve as the independent registered public accounting firm to audit our financial statements;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the scope and results of the audit with the independent registered public accounting firm, and reviewing, with management and the independent accountants, our interim and year-end operating results;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procedures for employees to submit concerns anonymously about questionable accounting or audit matters;</w:t>
      </w:r>
    </w:p>
    <w:p>
      <w:pPr>
        <w:sectPr>
          <w:pgSz w:w="12240" w:h="15840" w:orient="portrait"/>
          <w:cols w:equalWidth="0" w:num="1">
            <w:col w:w="10080"/>
          </w:cols>
          <w:pgMar w:left="1080" w:top="1088" w:right="1080" w:bottom="156"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080"/>
          </w:cols>
          <w:pgMar w:left="1080" w:top="1088" w:right="1080" w:bottom="156" w:gutter="0" w:footer="0" w:header="0"/>
          <w:type w:val="continuous"/>
        </w:sectPr>
      </w:pPr>
    </w:p>
    <w:bookmarkStart w:id="127" w:name="page128"/>
    <w:bookmarkEnd w:id="127"/>
    <w:p>
      <w:pPr>
        <w:ind w:left="360" w:hanging="360"/>
        <w:spacing w:after="0"/>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related person transactions;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or, as permitted, pre-approving, audit and permissible non-audit services to be performed by the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compensation committee consists of Dr. Singhvi, Dr. Keyoung and Dr. Bae. The chair of our compensation committee is Dr. Singhvi. Our board of directors has determined that each member of our compensation committee is independent under the NYSE American rules and regulations and as a “non-employee director” as defined in Rule 16b-3 promulgated under the Exchange Act.</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245" w:lineRule="exact"/>
        <w:rPr>
          <w:sz w:val="20"/>
          <w:szCs w:val="20"/>
          <w:color w:val="auto"/>
        </w:rPr>
      </w:pPr>
    </w:p>
    <w:p>
      <w:pPr>
        <w:ind w:left="360" w:hanging="360"/>
        <w:spacing w:after="0"/>
        <w:tabs>
          <w:tab w:leader="none" w:pos="3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reviewing and approving the compensation of our chief executive officer, other executive officers, and senior management;</w:t>
      </w:r>
    </w:p>
    <w:p>
      <w:pPr>
        <w:spacing w:after="0" w:line="72" w:lineRule="exact"/>
        <w:rPr>
          <w:rFonts w:ascii="Times New Roman" w:cs="Times New Roman" w:eastAsia="Times New Roman" w:hAnsi="Times New Roman"/>
          <w:sz w:val="19"/>
          <w:szCs w:val="19"/>
          <w:color w:val="auto"/>
        </w:rPr>
      </w:pPr>
    </w:p>
    <w:p>
      <w:pPr>
        <w:ind w:left="360" w:hanging="360"/>
        <w:spacing w:after="0"/>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to our board of directors the compensation paid to our directors;</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compensation arrangements with our executive officers and other senior management;</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our equity incentive plans and other benefit programs;</w:t>
      </w:r>
    </w:p>
    <w:p>
      <w:pPr>
        <w:spacing w:after="0" w:line="81"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7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evaluating, and recommending to our board of directors’ succession plans for our executive officers; and</w:t>
      </w:r>
    </w:p>
    <w:p>
      <w:pPr>
        <w:spacing w:after="0" w:line="80"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establishing general policies relating to compensation and benefits of our employees, including our overall compensation strategy, including base salary, incentive compensation, and equity-based grants, to assure that it promotes stockholder interests and supports our strategic and tactical objectives, and that it provides for appropriate rewards and incentives for our management and employees.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nominating and corporate governance committee consists of Dr. Singhvi, Dr. Bae and Dr. Keyoung. The chair of our nominating and corporate governance committee is Dr. Singhvi. Our board of directors has determined that each member of the nominating and corporate governance committee is independent under the NYSE American rules and regulations, a non-employee director, and free from any relationship that would interfere with the exercise of his or her independent judgment.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Specific responsibilities of our nominating and corporate governance committee include:</w:t>
      </w:r>
    </w:p>
    <w:p>
      <w:pPr>
        <w:spacing w:after="0" w:line="244" w:lineRule="exact"/>
        <w:rPr>
          <w:sz w:val="20"/>
          <w:szCs w:val="20"/>
          <w:color w:val="auto"/>
        </w:rPr>
      </w:pPr>
    </w:p>
    <w:p>
      <w:pPr>
        <w:ind w:left="360" w:hanging="360"/>
        <w:spacing w:after="0" w:line="235" w:lineRule="auto"/>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evaluating candidates, including the nomination of incumbent directors for reelection and nominees recommended by stockholders, to serve on our board of directors;</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considering and making recommendations to our board of directors regarding the composition and chairmanship of the committees of our board of directors;</w:t>
      </w:r>
    </w:p>
    <w:p>
      <w:pPr>
        <w:spacing w:after="0" w:line="7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instituting plans or programs for the continuing education of our board of directors and orientation of new directors;</w:t>
      </w:r>
    </w:p>
    <w:p>
      <w:pPr>
        <w:spacing w:after="0" w:line="80"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making recommendations to our board of directors regarding corporate governance guidelines and matters; and</w:t>
      </w:r>
    </w:p>
    <w:p>
      <w:pPr>
        <w:spacing w:after="0" w:line="83" w:lineRule="exact"/>
        <w:rPr>
          <w:rFonts w:ascii="Times New Roman" w:cs="Times New Roman" w:eastAsia="Times New Roman" w:hAnsi="Times New Roman"/>
          <w:sz w:val="20"/>
          <w:szCs w:val="20"/>
          <w:color w:val="auto"/>
        </w:rPr>
      </w:pPr>
    </w:p>
    <w:p>
      <w:pPr>
        <w:ind w:left="360" w:hanging="360"/>
        <w:spacing w:after="0" w:line="235" w:lineRule="auto"/>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periodic evaluations of the board of directors’ performance, including committees of the board of directors and management.</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Stockholders of record may also nominate director candidates for our annual meetings of stockholders by following the procedures set forth in our bylaws.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080" w:top="1078" w:right="1080" w:bottom="156"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has been posted on our website at www.kairospharma.com.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adopted an insider trading policy which prohibits our directors, officers and employees from engaging in transactions in our common stock while in the possession of material non-public information; engaging in transactions in the stock of other companies while in possession of material non-public information that they become aware of in performing their duties; and disclosing material non-public information to unauthorized persons outside our company.</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insider trading policy restricts trading by directors, officers and certain key employees during blackout periods, which generally begin three weeks prior to the last day of each fiscal quarter and ending three business days following the date the Company’s financial results are publicly disclosed and the Form 10-Q or the Form 10-K is filed. Additional blackout periods may be imposed with or without notice, as the circumstances require.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directors, officers and employees are expressly prohibited from making certain transactions, including short-term trading, short sales, options trading, trading on margin, and hedging, unless such transaction is specifically approved in advance by the administrator of our insider trading policy.</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While we have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 Compensation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Compensation for non-employee directors is determined by the board of directors. Each non-employee director receives an annual cash compensation of $50,000, payable in quarterly instalments in arrears, plus an additional $10,000 cash compensation for the chair of the audit committee. In addition, our policy provides that, upon initial election or appointment to our board of directors, each new non-employee director will be granted a one-time grant, or Director Initial Grant, of $50,000 of RSUs, with the number of RSUs issued calculated as of the grant date, which will vest in substantially equal annual instalments over a period of three years. The Director Initial Grant is subject to full acceleration of vesting upon the sale of our Company, in accordance with the terms of our 2023 Equity Incentive Plan. Employee directors receive no additional compensation for their service as a director.</w:t>
      </w:r>
    </w:p>
    <w:p>
      <w:pPr>
        <w:spacing w:after="0" w:line="2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reimburse our directors for all reasonable out-of-pocket expenses incurred for their attendance at meetings of our board of directors or any committee thereof.</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80"/>
          </w:cols>
          <w:pgMar w:left="1080" w:top="1078" w:right="1080" w:bottom="156" w:gutter="0" w:footer="0" w:header="0"/>
          <w:type w:val="continuous"/>
        </w:sectPr>
      </w:pPr>
    </w:p>
    <w:bookmarkStart w:id="129" w:name="page130"/>
    <w:bookmarkEnd w:id="129"/>
    <w:p>
      <w:pPr>
        <w:spacing w:after="0" w:line="235" w:lineRule="auto"/>
        <w:rPr>
          <w:sz w:val="20"/>
          <w:szCs w:val="20"/>
          <w:color w:val="auto"/>
        </w:rPr>
      </w:pPr>
      <w:r>
        <w:rPr>
          <w:rFonts w:ascii="Times New Roman" w:cs="Times New Roman" w:eastAsia="Times New Roman" w:hAnsi="Times New Roman"/>
          <w:sz w:val="20"/>
          <w:szCs w:val="20"/>
          <w:color w:val="auto"/>
        </w:rPr>
        <w:t>Our current non-employee directors earned the following compensation for their service during fiscal year ended December 31,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7"/>
        </w:trPr>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37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Awards  Awards Compensation Compensation</w:t>
            </w:r>
          </w:p>
        </w:tc>
        <w:tc>
          <w:tcPr>
            <w:tcW w:w="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2"/>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ind w:left="120"/>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0"/>
                <w:szCs w:val="10"/>
                <w:b w:val="1"/>
                <w:bCs w:val="1"/>
                <w:color w:val="auto"/>
              </w:rPr>
              <w:t>(3)</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1"/>
        </w:trPr>
        <w:tc>
          <w:tcPr>
            <w:tcW w:w="4940" w:type="dxa"/>
            <w:vAlign w:val="bottom"/>
          </w:tcPr>
          <w:p>
            <w:pPr>
              <w:spacing w:after="0" w:line="211" w:lineRule="exact"/>
              <w:rPr>
                <w:sz w:val="20"/>
                <w:szCs w:val="20"/>
                <w:color w:val="auto"/>
              </w:rPr>
            </w:pPr>
            <w:r>
              <w:rPr>
                <w:rFonts w:ascii="Times New Roman" w:cs="Times New Roman" w:eastAsia="Times New Roman" w:hAnsi="Times New Roman"/>
                <w:sz w:val="18"/>
                <w:szCs w:val="18"/>
                <w:color w:val="auto"/>
                <w:w w:val="97"/>
              </w:rPr>
              <w:t>Hyun W. Bae</w:t>
            </w:r>
            <w:r>
              <w:rPr>
                <w:rFonts w:ascii="Times New Roman" w:cs="Times New Roman" w:eastAsia="Times New Roman" w:hAnsi="Times New Roman"/>
                <w:sz w:val="24"/>
                <w:szCs w:val="24"/>
                <w:color w:val="auto"/>
                <w:w w:val="97"/>
                <w:vertAlign w:val="superscript"/>
              </w:rPr>
              <w:t>(1)</w:t>
            </w: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2"/>
                <w:szCs w:val="12"/>
                <w:color w:val="auto"/>
                <w:w w:val="97"/>
              </w:rPr>
              <w:t>...............................................................................................................................</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$50,000</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12,400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$62,400</w:t>
            </w:r>
          </w:p>
        </w:tc>
      </w:tr>
      <w:tr>
        <w:trPr>
          <w:trHeight w:val="209"/>
        </w:trPr>
        <w:tc>
          <w:tcPr>
            <w:tcW w:w="4940" w:type="dxa"/>
            <w:vAlign w:val="bottom"/>
          </w:tcPr>
          <w:p>
            <w:pPr>
              <w:spacing w:after="0" w:line="209" w:lineRule="exact"/>
              <w:rPr>
                <w:sz w:val="20"/>
                <w:szCs w:val="20"/>
                <w:color w:val="auto"/>
              </w:rPr>
            </w:pPr>
            <w:r>
              <w:rPr>
                <w:rFonts w:ascii="Times New Roman" w:cs="Times New Roman" w:eastAsia="Times New Roman" w:hAnsi="Times New Roman"/>
                <w:sz w:val="18"/>
                <w:szCs w:val="18"/>
                <w:color w:val="auto"/>
                <w:w w:val="98"/>
              </w:rPr>
              <w:t>Hansoo Michael Keyoung</w:t>
            </w:r>
            <w:r>
              <w:rPr>
                <w:rFonts w:ascii="Times New Roman" w:cs="Times New Roman" w:eastAsia="Times New Roman" w:hAnsi="Times New Roman"/>
                <w:sz w:val="24"/>
                <w:szCs w:val="24"/>
                <w:color w:val="auto"/>
                <w:w w:val="98"/>
                <w:vertAlign w:val="superscript"/>
              </w:rPr>
              <w:t>(1)</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2"/>
                <w:szCs w:val="12"/>
                <w:color w:val="auto"/>
                <w:w w:val="98"/>
              </w:rPr>
              <w:t>................................................................................................</w:t>
            </w:r>
          </w:p>
        </w:tc>
        <w:tc>
          <w:tcPr>
            <w:tcW w:w="720" w:type="dxa"/>
            <w:vAlign w:val="bottom"/>
            <w:gridSpan w:val="3"/>
          </w:tcPr>
          <w:p>
            <w:pPr>
              <w:jc w:val="center"/>
              <w:ind w:right="60"/>
              <w:spacing w:after="0" w:line="205" w:lineRule="exact"/>
              <w:rPr>
                <w:sz w:val="20"/>
                <w:szCs w:val="20"/>
                <w:color w:val="auto"/>
              </w:rPr>
            </w:pPr>
            <w:r>
              <w:rPr>
                <w:rFonts w:ascii="Times New Roman" w:cs="Times New Roman" w:eastAsia="Times New Roman" w:hAnsi="Times New Roman"/>
                <w:sz w:val="18"/>
                <w:szCs w:val="18"/>
                <w:color w:val="auto"/>
                <w:w w:val="99"/>
              </w:rPr>
              <w:t>$60,000</w:t>
            </w:r>
          </w:p>
        </w:tc>
        <w:tc>
          <w:tcPr>
            <w:tcW w:w="70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12,400</w:t>
            </w:r>
          </w:p>
        </w:tc>
        <w:tc>
          <w:tcPr>
            <w:tcW w:w="68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 $72,400</w:t>
            </w:r>
          </w:p>
        </w:tc>
      </w:tr>
      <w:tr>
        <w:trPr>
          <w:trHeight w:val="28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w w:val="98"/>
              </w:rPr>
              <w:t>Rahul Singhvi</w:t>
            </w:r>
            <w:r>
              <w:rPr>
                <w:rFonts w:ascii="Times New Roman" w:cs="Times New Roman" w:eastAsia="Times New Roman" w:hAnsi="Times New Roman"/>
                <w:sz w:val="24"/>
                <w:szCs w:val="24"/>
                <w:color w:val="auto"/>
                <w:w w:val="98"/>
                <w:vertAlign w:val="superscript"/>
              </w:rPr>
              <w:t>(2)</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2"/>
                <w:szCs w:val="12"/>
                <w:color w:val="auto"/>
                <w:w w:val="98"/>
              </w:rPr>
              <w:t>.............................................................................................................................</w:t>
            </w:r>
          </w:p>
        </w:tc>
        <w:tc>
          <w:tcPr>
            <w:tcW w:w="720" w:type="dxa"/>
            <w:vAlign w:val="bottom"/>
            <w:gridSpan w:val="3"/>
          </w:tcPr>
          <w:p>
            <w:pPr>
              <w:jc w:val="center"/>
              <w:ind w:right="60"/>
              <w:spacing w:after="0" w:line="205" w:lineRule="exact"/>
              <w:rPr>
                <w:sz w:val="20"/>
                <w:szCs w:val="20"/>
                <w:color w:val="auto"/>
              </w:rPr>
            </w:pPr>
            <w:r>
              <w:rPr>
                <w:rFonts w:ascii="Times New Roman" w:cs="Times New Roman" w:eastAsia="Times New Roman" w:hAnsi="Times New Roman"/>
                <w:sz w:val="18"/>
                <w:szCs w:val="18"/>
                <w:color w:val="auto"/>
                <w:w w:val="99"/>
              </w:rPr>
              <w:t>$50,000</w:t>
            </w:r>
          </w:p>
        </w:tc>
        <w:tc>
          <w:tcPr>
            <w:tcW w:w="70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18,750</w:t>
            </w:r>
          </w:p>
        </w:tc>
        <w:tc>
          <w:tcPr>
            <w:tcW w:w="68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$68,750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3979545</wp:posOffset>
                </wp:positionH>
                <wp:positionV relativeFrom="paragraph">
                  <wp:posOffset>-458470</wp:posOffset>
                </wp:positionV>
                <wp:extent cx="28575" cy="127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156" o:spid="_x0000_s1181" style="position:absolute;margin-left:313.35pt;margin-top:-36.09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5944235</wp:posOffset>
                </wp:positionH>
                <wp:positionV relativeFrom="paragraph">
                  <wp:posOffset>-458470</wp:posOffset>
                </wp:positionV>
                <wp:extent cx="28575" cy="127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157" o:spid="_x0000_s1182" style="position:absolute;margin-left:468.05pt;margin-top:-36.09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45" w:lineRule="exact"/>
        <w:rPr>
          <w:sz w:val="20"/>
          <w:szCs w:val="20"/>
          <w:color w:val="auto"/>
        </w:rPr>
      </w:pPr>
    </w:p>
    <w:p>
      <w:pPr>
        <w:ind w:left="360" w:hanging="360"/>
        <w:spacing w:after="0"/>
        <w:tabs>
          <w:tab w:leader="none" w:pos="3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entered into director agreements with Dr. Bae and Dr. Keyoung, effective September 16, 2024, the date of our initial listing on the NYSE American.</w:t>
      </w:r>
    </w:p>
    <w:p>
      <w:pPr>
        <w:spacing w:after="0" w:line="73" w:lineRule="exact"/>
        <w:rPr>
          <w:rFonts w:ascii="Times New Roman" w:cs="Times New Roman" w:eastAsia="Times New Roman" w:hAnsi="Times New Roman"/>
          <w:sz w:val="15"/>
          <w:szCs w:val="15"/>
          <w:color w:val="auto"/>
        </w:rPr>
      </w:pPr>
    </w:p>
    <w:p>
      <w:pPr>
        <w:ind w:left="360" w:hanging="360"/>
        <w:spacing w:after="0"/>
        <w:tabs>
          <w:tab w:leader="none" w:pos="3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entered into a director agreement with Dr. Singhvi upon his appointment on December 10, 2024.</w:t>
      </w:r>
    </w:p>
    <w:p>
      <w:pPr>
        <w:spacing w:after="0" w:line="71"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non-employee director received RSUs which vest annually in one-third increments over a period of three years.</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certificate of incorporation contains provisions limiting the liability of directors, and our bylaws provide that we will indemnify each of our directors and officers to the fullest extent permitted under Delaware law. Our certificate of incorporation and bylaws will also provide our board of directors with discretion to indemnify our employees and other agents when determined appropriate by the board of directors. In addition, we have entered into indemnification agreements with each of our directors and executive officers, which will require us to indemnify them.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the Company’s knowledge,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December 31, 2025, except for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Late Reports</w:t>
            </w: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Earliest Transaction</w:t>
            </w: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21"/>
        </w:trPr>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89"/>
        </w:trPr>
        <w:tc>
          <w:tcPr>
            <w:tcW w:w="2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John S Yu</w:t>
            </w:r>
          </w:p>
        </w:tc>
        <w:tc>
          <w:tcPr>
            <w:tcW w:w="200" w:type="dxa"/>
            <w:vAlign w:val="bottom"/>
          </w:tcPr>
          <w:p>
            <w:pPr>
              <w:spacing w:after="0"/>
              <w:rPr>
                <w:sz w:val="16"/>
                <w:szCs w:val="16"/>
                <w:color w:val="auto"/>
              </w:rPr>
            </w:pPr>
          </w:p>
        </w:tc>
        <w:tc>
          <w:tcPr>
            <w:tcW w:w="2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4</w:t>
            </w:r>
          </w:p>
        </w:tc>
        <w:tc>
          <w:tcPr>
            <w:tcW w:w="200" w:type="dxa"/>
            <w:vAlign w:val="bottom"/>
          </w:tcPr>
          <w:p>
            <w:pPr>
              <w:spacing w:after="0"/>
              <w:rPr>
                <w:sz w:val="16"/>
                <w:szCs w:val="16"/>
                <w:color w:val="auto"/>
              </w:rPr>
            </w:pPr>
          </w:p>
        </w:tc>
        <w:tc>
          <w:tcPr>
            <w:tcW w:w="3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01/01/2025</w:t>
            </w:r>
          </w:p>
        </w:tc>
        <w:tc>
          <w:tcPr>
            <w:tcW w:w="200" w:type="dxa"/>
            <w:vAlign w:val="bottom"/>
          </w:tcPr>
          <w:p>
            <w:pPr>
              <w:spacing w:after="0"/>
              <w:rPr>
                <w:sz w:val="16"/>
                <w:szCs w:val="16"/>
                <w:color w:val="auto"/>
              </w:rPr>
            </w:pPr>
          </w:p>
        </w:tc>
        <w:tc>
          <w:tcPr>
            <w:tcW w:w="2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02/24/2025</w:t>
            </w:r>
          </w:p>
        </w:tc>
      </w:tr>
      <w:tr>
        <w:trPr>
          <w:trHeight w:val="206"/>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10/08/2025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Ramachandran Murali</w:t>
            </w:r>
          </w:p>
        </w:tc>
        <w:tc>
          <w:tcPr>
            <w:tcW w:w="2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01/01/2025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02/24/2025</w:t>
            </w:r>
          </w:p>
        </w:tc>
      </w:tr>
      <w:tr>
        <w:trPr>
          <w:trHeight w:val="209"/>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10/08/2025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4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Neil Bhowmick</w:t>
            </w:r>
          </w:p>
        </w:tc>
        <w:tc>
          <w:tcPr>
            <w:tcW w:w="2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01/01/2025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04/07/2025</w:t>
            </w:r>
          </w:p>
        </w:tc>
      </w:tr>
      <w:tr>
        <w:trPr>
          <w:trHeight w:val="209"/>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10/08/2025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12/30/2025</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Doug Samuelson</w:t>
            </w:r>
          </w:p>
        </w:tc>
        <w:tc>
          <w:tcPr>
            <w:tcW w:w="2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10/08/2025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41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Rahul Singhvi</w:t>
            </w:r>
          </w:p>
        </w:tc>
        <w:tc>
          <w:tcPr>
            <w:tcW w:w="2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10/08/2025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Michael Hansoo Keyoung</w:t>
            </w:r>
          </w:p>
        </w:tc>
        <w:tc>
          <w:tcPr>
            <w:tcW w:w="2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09/16/2025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Hyun W. Bae</w:t>
            </w:r>
          </w:p>
        </w:tc>
        <w:tc>
          <w:tcPr>
            <w:tcW w:w="2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4</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09/16/2025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12/23/2025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1279525</wp:posOffset>
                </wp:positionH>
                <wp:positionV relativeFrom="paragraph">
                  <wp:posOffset>-2125345</wp:posOffset>
                </wp:positionV>
                <wp:extent cx="12763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75pt,-167.3499pt" to="110.8pt,-167.3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2687955</wp:posOffset>
                </wp:positionH>
                <wp:positionV relativeFrom="paragraph">
                  <wp:posOffset>-2125345</wp:posOffset>
                </wp:positionV>
                <wp:extent cx="371284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284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5pt,-167.3499pt" to="504pt,-167.3499pt" o:allowincell="f" strokecolor="#FFFFFF" strokeweight="0.9882pt"/>
            </w:pict>
          </mc:Fallback>
        </mc:AlternateConten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 EXECUTIVE COMPENSATION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named executive officers for the years ended December 31, 2025 and 2024 were Dr. Yu, Dr. Bhowmick, Dr. Murali and Mr. Samuelson.</w:t>
      </w:r>
    </w:p>
    <w:p>
      <w:pPr>
        <w:sectPr>
          <w:pgSz w:w="12240" w:h="15840" w:orient="portrait"/>
          <w:cols w:equalWidth="0" w:num="1">
            <w:col w:w="10080"/>
          </w:cols>
          <w:pgMar w:left="1080" w:top="108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80" w:top="1088" w:right="1080" w:bottom="156"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Set forth below is the summary compensation table for our named executive officers for the years ended December 31, 2024 and 2025. We are currently a “emerging growth company” and a “smaller reporting company” as defined under SEC rules and, as a result, we are required to include only two years of compensation disclosure, rather than three years, in this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8"/>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24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Incentive Plan Compensation</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0" w:type="dxa"/>
            <w:vAlign w:val="bottom"/>
          </w:tcPr>
          <w:p>
            <w:pPr>
              <w:spacing w:after="0"/>
              <w:rPr>
                <w:sz w:val="18"/>
                <w:szCs w:val="18"/>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1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Awards Compensation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2"/>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4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5"/>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S. Yu</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85,741</w:t>
            </w:r>
          </w:p>
        </w:tc>
      </w:tr>
      <w:tr>
        <w:trPr>
          <w:trHeight w:val="209"/>
        </w:trPr>
        <w:tc>
          <w:tcPr>
            <w:tcW w:w="250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87,500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362,915</w:t>
            </w:r>
          </w:p>
        </w:tc>
      </w:tr>
      <w:tr>
        <w:trPr>
          <w:trHeight w:val="416"/>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Neil Bhowmick</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29,315</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72,755</w:t>
            </w:r>
          </w:p>
        </w:tc>
      </w:tr>
      <w:tr>
        <w:trPr>
          <w:trHeight w:val="209"/>
        </w:trPr>
        <w:tc>
          <w:tcPr>
            <w:tcW w:w="250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225,415</w:t>
            </w:r>
          </w:p>
        </w:tc>
      </w:tr>
      <w:tr>
        <w:trPr>
          <w:trHeight w:val="418"/>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Ramachandran Murali</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63,892</w:t>
            </w:r>
          </w:p>
        </w:tc>
      </w:tr>
      <w:tr>
        <w:trPr>
          <w:trHeight w:val="209"/>
        </w:trPr>
        <w:tc>
          <w:tcPr>
            <w:tcW w:w="250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190,415</w:t>
            </w:r>
          </w:p>
        </w:tc>
      </w:tr>
      <w:tr>
        <w:trPr>
          <w:trHeight w:val="417"/>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Doug Samuelson</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137,657</w:t>
            </w:r>
          </w:p>
        </w:tc>
      </w:tr>
      <w:tr>
        <w:trPr>
          <w:trHeight w:val="209"/>
        </w:trPr>
        <w:tc>
          <w:tcPr>
            <w:tcW w:w="250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2331085</wp:posOffset>
                </wp:positionH>
                <wp:positionV relativeFrom="paragraph">
                  <wp:posOffset>-1600835</wp:posOffset>
                </wp:positionV>
                <wp:extent cx="28575" cy="127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160" o:spid="_x0000_s1185" style="position:absolute;margin-left:183.55pt;margin-top:-126.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3627120</wp:posOffset>
                </wp:positionH>
                <wp:positionV relativeFrom="paragraph">
                  <wp:posOffset>-1600835</wp:posOffset>
                </wp:positionV>
                <wp:extent cx="28575" cy="127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161" o:spid="_x0000_s1186" style="position:absolute;margin-left:285.6pt;margin-top:-126.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5915025</wp:posOffset>
                </wp:positionH>
                <wp:positionV relativeFrom="paragraph">
                  <wp:posOffset>-1600835</wp:posOffset>
                </wp:positionV>
                <wp:extent cx="28575" cy="1270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162" o:spid="_x0000_s1187" style="position:absolute;margin-left:465.75pt;margin-top:-126.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-1600835</wp:posOffset>
                </wp:positionV>
                <wp:extent cx="28575" cy="127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163" o:spid="_x0000_s1188" style="position:absolute;margin-left:501.75pt;margin-top:-126.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Each of our executive officers has entered into an employment agreement with us. The executive officers will each receive compensation on an annual basis in cash, payable in monthly installments commencing at the completion of our IPO, as well as an initial restricted stock grant of RSUs. As may be decided from time to time by our Compensation Committee, our executive officers may be entitled to various target bonuses. The terms of the employment agreements are as follows: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Agreement with John Yu, MD</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27, 2023, we entered enter into an employment agreement with our Chief Executive Officer and Chairman of the Board, John Yu, M.D. Dr. Yu’s employment agreement became effective upon consummation of our IPO. Under the terms of his employment agreement, Dr. Yu will receive base compensation of $175,000 per year. Dr. Yu also received 14,000 RSUs, which will vest annually in substantially equal installments over a period of three years. In addition, Dr. Yu will be entitled to receive an annual cash or stock bonus, as may be determined by the compensation committee of the board of directors. Should Dr. Yu terminate his employment for “Good Reason,” as defined in his employment agreement, he will be entitled to his then applicable base salary for period of six months, subject to his continued compliance with certain requirements of his employment agreement. Dr. Yu will also be entitled to standard benefits that may be offered by the Company from time to time, including 30 days’ paid vacation.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Agreement with Doug Samuelson</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September 27, 2023, we entered into an employment agreement with our Chief Financial Officer, Mr. Doug Samuelson, which became effective upon consummation of our IPO. Under the employment agreement, Mr. Samuelson will be entitled to receive (i) a base salary equal to $50,000 per year, payable in monthly installments; (ii) an annual grant of 50,000 RSUs, which RSUs will be issued each year on the anniversary date of our IPO, with each grant becoming fully vested after 12 months; and</w:t>
      </w:r>
    </w:p>
    <w:p>
      <w:pPr>
        <w:spacing w:after="0" w:line="3" w:lineRule="exact"/>
        <w:rPr>
          <w:sz w:val="20"/>
          <w:szCs w:val="20"/>
          <w:color w:val="auto"/>
        </w:rPr>
      </w:pPr>
    </w:p>
    <w:p>
      <w:pPr>
        <w:jc w:val="both"/>
        <w:spacing w:after="0"/>
        <w:tabs>
          <w:tab w:leader="none" w:pos="3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number of RSUs equal to 1.2 times the amount of outstanding invoices then owed to Mr. Samuelson according to his current consulting agreement, with such number of RSUs to be calculated at our IPO per share purchase price. In addition, in the event of “Change of Control,” as such term is defined in his employment agreement, Mr. Samuelson will be entitled to receive 250,000 RSUs, which number shall include all RSUs Mr. Samuelson has received up until the date of the Change of Control, and which shall all vest immediately upon issuance. Mr. Samuelson will also be entitled to receive an annual cash or stock bonus, as may be determined by the compensation committee of the board of directors and will be entitled to standard benefits that may be offered by the Company from time to time, including 30 days’ paid vacation and six months’ severance in the event his employment is terminated without cause.</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80" w:top="1078" w:right="1080" w:bottom="156"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Agreement with Neil Bhowmick, MD</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27, 2023, we entered into an employment agreement with our Chief Scientific Officer, Neil Bhowmick, M.D., which became effective upon the consummation of our IPO. Under Dr. Bhowmick’s employment agreement, Dr. Bhowmick will receive a base salary equal to $100,000 per year, payable in monthly installments, and 14,000 RSUs, which RSUs will vest annually over a period of three years. In addition, Dr. Bhowmick will be entitled to receive an annual cash or stock bonus, as may be determined by the board of directors or a committee thereof. Dr. Bhowmick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Agreement with Ramachandran Murali, MD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September 27, 2023, we entered into an employment agreement with our Vice President of Research and Development, Ramachandran Murali, MD, which became effective upon consummation of our IPO. Under Dr. Murali’s employment agreement, Dr. Murali will receive base compensation of $80,000 per year and will receive an initial grant of 14,0000 RSUs, which RSUs will vest annually in substantially equal installments over a period of three years. In addition, Dr. Murali will be entitled to receive an annual cash or stock bonus, as may be determined by the board of directors or a committee thereof. Dr. Murali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Equity-Based Incentive Awards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July 2023, we adopted our 2023 Equity Incentive Plan, which reserved 1,650,000 shares of common stock for issuance under the 2023 Equity Incentive Plan. The equity-based incentive awards granted under the 2023 Equity Incentive Plan are designed to align our interests and those of our stockholders with those of our employees and consultants, including our executive officers. Our board of directors or an authorized committee thereof is responsible for approving equity grants.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 End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Equity Awards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December 31, 2025</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following table provides information regarding outstanding equity awards held by our named executive officers as of December 31,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Restricted Stock Unit</w:t>
            </w: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Awards</w:t>
            </w:r>
          </w:p>
        </w:tc>
      </w:tr>
      <w:tr>
        <w:trPr>
          <w:trHeight w:val="208"/>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1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RSUs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RSUs (#)</w:t>
            </w:r>
          </w:p>
        </w:tc>
      </w:tr>
      <w:tr>
        <w:trPr>
          <w:trHeight w:val="212"/>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w:t>
            </w:r>
          </w:p>
        </w:tc>
      </w:tr>
      <w:tr>
        <w:trPr>
          <w:trHeight w:val="20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John S. Yu .......................................................</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10/08/2025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190,840</w:t>
            </w:r>
          </w:p>
        </w:tc>
      </w:tr>
      <w:tr>
        <w:trPr>
          <w:trHeight w:val="209"/>
        </w:trPr>
        <w:tc>
          <w:tcPr>
            <w:tcW w:w="3320" w:type="dxa"/>
            <w:vAlign w:val="bottom"/>
          </w:tcPr>
          <w:p>
            <w:pPr>
              <w:spacing w:after="0"/>
              <w:rPr>
                <w:sz w:val="18"/>
                <w:szCs w:val="18"/>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09/16/2024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0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Doug Samuelson .............................................</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10/08/2025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152,672</w:t>
            </w:r>
          </w:p>
        </w:tc>
      </w:tr>
      <w:tr>
        <w:trPr>
          <w:trHeight w:val="209"/>
        </w:trPr>
        <w:tc>
          <w:tcPr>
            <w:tcW w:w="3320" w:type="dxa"/>
            <w:vAlign w:val="bottom"/>
          </w:tcPr>
          <w:p>
            <w:pPr>
              <w:spacing w:after="0"/>
              <w:rPr>
                <w:sz w:val="18"/>
                <w:szCs w:val="18"/>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09/16/2024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Neil Bhowmick ...............................................</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10/08/2025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171,756</w:t>
            </w:r>
          </w:p>
        </w:tc>
      </w:tr>
      <w:tr>
        <w:trPr>
          <w:trHeight w:val="209"/>
        </w:trPr>
        <w:tc>
          <w:tcPr>
            <w:tcW w:w="3320" w:type="dxa"/>
            <w:vAlign w:val="bottom"/>
          </w:tcPr>
          <w:p>
            <w:pPr>
              <w:spacing w:after="0"/>
              <w:rPr>
                <w:sz w:val="18"/>
                <w:szCs w:val="18"/>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09/16/2024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Ramachandran Murali .....................................</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10/08/2025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152,672</w:t>
            </w:r>
          </w:p>
        </w:tc>
      </w:tr>
      <w:tr>
        <w:trPr>
          <w:trHeight w:val="209"/>
        </w:trPr>
        <w:tc>
          <w:tcPr>
            <w:tcW w:w="3320" w:type="dxa"/>
            <w:vAlign w:val="bottom"/>
          </w:tcPr>
          <w:p>
            <w:pPr>
              <w:spacing w:after="0"/>
              <w:rPr>
                <w:sz w:val="18"/>
                <w:szCs w:val="18"/>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09/16/2024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3378835</wp:posOffset>
                </wp:positionH>
                <wp:positionV relativeFrom="paragraph">
                  <wp:posOffset>-1070610</wp:posOffset>
                </wp:positionV>
                <wp:extent cx="28575" cy="1206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FFFFFF"/>
                        </a:solidFill>
                      </wps:spPr>
                      <wps:bodyPr/>
                    </wps:wsp>
                  </a:graphicData>
                </a:graphic>
              </wp:anchor>
            </w:drawing>
          </mc:Choice>
          <mc:Fallback>
            <w:pict>
              <v:rect id="Shape 164" o:spid="_x0000_s1189" style="position:absolute;margin-left:266.05pt;margin-top:-84.2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4003675</wp:posOffset>
                </wp:positionH>
                <wp:positionV relativeFrom="paragraph">
                  <wp:posOffset>-1070610</wp:posOffset>
                </wp:positionV>
                <wp:extent cx="28575" cy="1206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FFFFFF"/>
                        </a:solidFill>
                      </wps:spPr>
                      <wps:bodyPr/>
                    </wps:wsp>
                  </a:graphicData>
                </a:graphic>
              </wp:anchor>
            </w:drawing>
          </mc:Choice>
          <mc:Fallback>
            <w:pict>
              <v:rect id="Shape 165" o:spid="_x0000_s1190" style="position:absolute;margin-left:315.25pt;margin-top:-84.2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ectPr>
          <w:pgSz w:w="12240" w:h="15840" w:orient="portrait"/>
          <w:cols w:equalWidth="0" w:num="1">
            <w:col w:w="10080"/>
          </w:cols>
          <w:pgMar w:left="1080" w:top="1078" w:right="1080" w:bottom="156"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80"/>
          </w:cols>
          <w:pgMar w:left="1080" w:top="1078" w:right="1080" w:bottom="156"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As such, on March 1, 2024 we adopted a clawback policy, entitled, “Policy for Recovery of Erroneously Awarded Compensation.”</w:t>
      </w:r>
    </w:p>
    <w:p>
      <w:pPr>
        <w:spacing w:after="0" w:line="2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color w:val="auto"/>
        </w:rPr>
        <w:t>ITEM 12 - SECURITY OWNERSHIP OF CERTAIN BENEFICIAL OWNERS AND MANAGEMENT AND RELATED STOCKHOLDER MATTERS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information regarding beneficial ownership of our capital stock as of March 31, 2026 by:</w:t>
      </w:r>
    </w:p>
    <w:p>
      <w:pPr>
        <w:spacing w:after="0" w:line="234" w:lineRule="exact"/>
        <w:rPr>
          <w:sz w:val="20"/>
          <w:szCs w:val="20"/>
          <w:color w:val="auto"/>
        </w:rPr>
      </w:pPr>
    </w:p>
    <w:p>
      <w:pPr>
        <w:ind w:left="360" w:hanging="360"/>
        <w:spacing w:after="0"/>
        <w:tabs>
          <w:tab w:leader="none" w:pos="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of affiliated persons, known by us to beneficially own more than 5% of our common stock;</w:t>
      </w:r>
    </w:p>
    <w:p>
      <w:pPr>
        <w:spacing w:after="0" w:line="7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directors and named executive officers; and</w:t>
      </w:r>
    </w:p>
    <w:p>
      <w:pPr>
        <w:spacing w:after="0" w:line="7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current executive officers and directors as a group.</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percentage ownership is based on 21,411,198 shares of our common stock outstanding as of March 31, 2026.</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Unless otherwise indicated, the address for each beneficial owner listed in the table below is 2355 Westwood Blvd. #139, Los Angeles, California 90064.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r>
      <w:tr>
        <w:trPr>
          <w:trHeight w:val="209"/>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Owned (#) (2)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6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Greater than 5% Holders:</w:t>
            </w: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8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w w:val="99"/>
              </w:rPr>
              <w:t>Technomedics Management and Systems, Inc.</w:t>
            </w: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1,139,027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4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0"/>
        </w:trPr>
        <w:tc>
          <w:tcPr>
            <w:tcW w:w="6040" w:type="dxa"/>
            <w:vAlign w:val="bottom"/>
          </w:tcPr>
          <w:p>
            <w:pPr>
              <w:spacing w:after="0" w:line="220" w:lineRule="exact"/>
              <w:rPr>
                <w:sz w:val="20"/>
                <w:szCs w:val="20"/>
                <w:color w:val="auto"/>
              </w:rPr>
            </w:pPr>
            <w:r>
              <w:rPr>
                <w:rFonts w:ascii="Times New Roman" w:cs="Times New Roman" w:eastAsia="Times New Roman" w:hAnsi="Times New Roman"/>
                <w:sz w:val="18"/>
                <w:szCs w:val="18"/>
                <w:color w:val="auto"/>
                <w:w w:val="99"/>
              </w:rPr>
              <w:t xml:space="preserve">John S. Yu, M.D. </w:t>
            </w:r>
            <w:r>
              <w:rPr>
                <w:rFonts w:ascii="Times New Roman" w:cs="Times New Roman" w:eastAsia="Times New Roman" w:hAnsi="Times New Roman"/>
                <w:sz w:val="24"/>
                <w:szCs w:val="24"/>
                <w:color w:val="auto"/>
                <w:w w:val="99"/>
                <w:vertAlign w:val="superscript"/>
              </w:rPr>
              <w:t>(3)</w:t>
            </w:r>
            <w:r>
              <w:rPr>
                <w:rFonts w:ascii="Times New Roman" w:cs="Times New Roman" w:eastAsia="Times New Roman" w:hAnsi="Times New Roman"/>
                <w:sz w:val="18"/>
                <w:szCs w:val="18"/>
                <w:color w:val="auto"/>
                <w:w w:val="99"/>
              </w:rPr>
              <w:t>.....................................................................................................</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5,347,170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97"/>
        </w:trPr>
        <w:tc>
          <w:tcPr>
            <w:tcW w:w="6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Ramachandran Murali, Ph.D. ......................................................................................</w:t>
            </w:r>
          </w:p>
        </w:tc>
        <w:tc>
          <w:tcPr>
            <w:tcW w:w="2220" w:type="dxa"/>
            <w:vAlign w:val="bottom"/>
            <w:gridSpan w:val="3"/>
          </w:tcPr>
          <w:p>
            <w:pPr>
              <w:jc w:val="right"/>
              <w:ind w:right="300"/>
              <w:spacing w:after="0" w:line="197" w:lineRule="exact"/>
              <w:rPr>
                <w:sz w:val="20"/>
                <w:szCs w:val="20"/>
                <w:color w:val="auto"/>
              </w:rPr>
            </w:pPr>
            <w:r>
              <w:rPr>
                <w:rFonts w:ascii="Times New Roman" w:cs="Times New Roman" w:eastAsia="Times New Roman" w:hAnsi="Times New Roman"/>
                <w:sz w:val="18"/>
                <w:szCs w:val="18"/>
                <w:color w:val="auto"/>
              </w:rPr>
              <w:t>142,191</w:t>
            </w:r>
          </w:p>
        </w:tc>
        <w:tc>
          <w:tcPr>
            <w:tcW w:w="17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Neil Bhowmick, Ph.D.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1,135,316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w w:val="99"/>
              </w:rPr>
              <w:t>Douglas Samuelson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140,367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Hyun W. Bae, M.D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49,855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Hansoo Michael Keyoung, M.D.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5,569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w w:val="99"/>
              </w:rPr>
              <w:t>Rahul Singhvi, Sci.D., MBA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5,569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 ........................................</w:t>
            </w:r>
          </w:p>
        </w:tc>
        <w:tc>
          <w:tcPr>
            <w:tcW w:w="2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6,826,037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5056505</wp:posOffset>
                </wp:positionH>
                <wp:positionV relativeFrom="paragraph">
                  <wp:posOffset>-1728470</wp:posOffset>
                </wp:positionV>
                <wp:extent cx="635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15pt,-136.0999pt" to="403.15pt,-136.09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-1728470</wp:posOffset>
                </wp:positionV>
                <wp:extent cx="6413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136.0999pt" to="504pt,-136.0999pt" o:allowincell="f" strokecolor="#FFFFFF" strokeweight="0.9882pt"/>
            </w:pict>
          </mc:Fallback>
        </mc:AlternateConten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beneficial ownership of less than 1%.</w:t>
      </w:r>
    </w:p>
    <w:p>
      <w:pPr>
        <w:spacing w:after="0" w:line="1" w:lineRule="exact"/>
        <w:rPr>
          <w:sz w:val="20"/>
          <w:szCs w:val="20"/>
          <w:color w:val="auto"/>
        </w:rPr>
      </w:pPr>
    </w:p>
    <w:p>
      <w:pPr>
        <w:ind w:left="220" w:hanging="220"/>
        <w:spacing w:after="0"/>
        <w:tabs>
          <w:tab w:leader="none" w:pos="2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Manfred Mosk exercises voting and investment power of all shares held by Technomedics Management and Systems, Inc.</w:t>
      </w:r>
    </w:p>
    <w:p>
      <w:pPr>
        <w:ind w:left="220" w:hanging="220"/>
        <w:spacing w:after="0"/>
        <w:tabs>
          <w:tab w:leader="none" w:pos="2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restricted stock units issued under the Company’s 2023 Equity Incentive Plan which remain subject to vesting.</w:t>
      </w:r>
    </w:p>
    <w:p>
      <w:pPr>
        <w:spacing w:after="0" w:line="2" w:lineRule="exact"/>
        <w:rPr>
          <w:rFonts w:ascii="Times New Roman" w:cs="Times New Roman" w:eastAsia="Times New Roman" w:hAnsi="Times New Roman"/>
          <w:sz w:val="16"/>
          <w:szCs w:val="16"/>
          <w:color w:val="auto"/>
        </w:rPr>
      </w:pPr>
    </w:p>
    <w:p>
      <w:pPr>
        <w:ind w:left="220" w:hanging="220"/>
        <w:spacing w:after="0"/>
        <w:tabs>
          <w:tab w:leader="none" w:pos="2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Yu Family trust owns 5,316,572 shares and John Yu owns 30,598 shares of our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 CERTAIN RELATIONSHIPS AND RELATED TRANSACTIONS, AND DIRECTOR INDEPENDENCE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following includes a summary of transactions since January 1, 2023 to which we have been a party in which the amount involved exceeded or will exceed the lesser of $120,000 as of December 31, 2025,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080"/>
          </w:cols>
          <w:pgMar w:left="1080" w:top="1078" w:right="1080" w:bottom="156"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auto"/>
        </w:rPr>
        <w:t>Loans and Advances from Related Parties</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August 2024, the Company borrowed $0.04 million from one of its officers. The loans accrue interest at 7.5% interest per annum, are unsecured, and are due in August 2025.</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April and May 2024, the Company borrowed $0.1 million from three of its officers. The loans accrue interest at 7.5% per annum, are unsecured, and are due in April 2025. The officers holding notes payable have since agreed to convert the outstanding loans and principal into shares of common stock of the company, converting at the IPO per share purchase price, following completion of the IPO.</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2021, stockholders of the Company, and a company whose principal stockholder is also a stockholder of the Company, advanced the Company $0.01 million, which was all outstanding at December 31, 2021. The advances accrue no interest, are unsecured and are due on demand. As of December 31, 2021, $0.01 million was owed on the advances. During the year ended December 31, 2022, the Company repaid $0.01 million of the advances, and as of December 31, 2022 and 2023, and June 30, 2024, a total of $0.004 was outstanding.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Procedures for Transactions with Related Persons</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 PRINCIPAL ACCOUNTANT FEES AND SERVICES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 Paid to Auditors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following table represents fees for professional audit services for the audit of the Company’s annual financial statements for the fiscal years ended December 31, 2025 and 2024, rendered by Weinberg and Company, P.A., the Company’s current independent registered public accounting firm, and Marcum LLP, the Company’s prior independent registered public accounting firm.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Weinberg and Company, P.A.</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Marcum LLP</w:t>
            </w:r>
          </w:p>
        </w:tc>
        <w:tc>
          <w:tcPr>
            <w:tcW w:w="800" w:type="dxa"/>
            <w:vAlign w:val="bottom"/>
            <w:tcBorders>
              <w:bottom w:val="single" w:sz="8" w:color="auto"/>
            </w:tcBorders>
          </w:tcPr>
          <w:p>
            <w:pPr>
              <w:spacing w:after="0"/>
              <w:rPr>
                <w:sz w:val="18"/>
                <w:szCs w:val="18"/>
                <w:color w:val="auto"/>
              </w:rPr>
            </w:pPr>
          </w:p>
        </w:tc>
      </w:tr>
      <w:tr>
        <w:trPr>
          <w:trHeight w:val="20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r>
      <w:tr>
        <w:trPr>
          <w:trHeight w:val="209"/>
        </w:trPr>
        <w:tc>
          <w:tcPr>
            <w:tcW w:w="4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424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r>
      <w:tr>
        <w:trPr>
          <w:trHeight w:val="216"/>
        </w:trPr>
        <w:tc>
          <w:tcPr>
            <w:tcW w:w="4240" w:type="dxa"/>
            <w:vAlign w:val="bottom"/>
            <w:gridSpan w:val="2"/>
          </w:tcPr>
          <w:p>
            <w:pPr>
              <w:spacing w:after="0" w:line="217"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100" w:type="dxa"/>
            <w:vAlign w:val="bottom"/>
          </w:tcPr>
          <w:p>
            <w:pPr>
              <w:spacing w:after="0"/>
              <w:rPr>
                <w:sz w:val="18"/>
                <w:szCs w:val="18"/>
                <w:color w:val="auto"/>
              </w:rPr>
            </w:pP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16,000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59,740</w:t>
            </w:r>
          </w:p>
        </w:tc>
      </w:tr>
      <w:tr>
        <w:trPr>
          <w:trHeight w:val="197"/>
        </w:trPr>
        <w:tc>
          <w:tcPr>
            <w:tcW w:w="42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Tax fees ...........................................................................</w:t>
            </w:r>
          </w:p>
        </w:tc>
        <w:tc>
          <w:tcPr>
            <w:tcW w:w="100" w:type="dxa"/>
            <w:vAlign w:val="bottom"/>
          </w:tcPr>
          <w:p>
            <w:pPr>
              <w:spacing w:after="0"/>
              <w:rPr>
                <w:sz w:val="17"/>
                <w:szCs w:val="17"/>
                <w:color w:val="auto"/>
              </w:rPr>
            </w:pPr>
          </w:p>
        </w:tc>
        <w:tc>
          <w:tcPr>
            <w:tcW w:w="1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fees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4415155</wp:posOffset>
                </wp:positionH>
                <wp:positionV relativeFrom="paragraph">
                  <wp:posOffset>-958215</wp:posOffset>
                </wp:positionV>
                <wp:extent cx="6477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12849">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5pt,-75.4499pt" to="352.75pt,-75.4499pt" o:allowincell="f" strokecolor="#FFFFFF" strokeweight="1.0117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-812800</wp:posOffset>
                </wp:positionV>
                <wp:extent cx="6413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64pt" to="504pt,-64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3454400</wp:posOffset>
                </wp:positionH>
                <wp:positionV relativeFrom="paragraph">
                  <wp:posOffset>-667385</wp:posOffset>
                </wp:positionV>
                <wp:extent cx="19240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pt,-52.5499pt" to="287.15pt,-5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4415155</wp:posOffset>
                </wp:positionH>
                <wp:positionV relativeFrom="paragraph">
                  <wp:posOffset>-667385</wp:posOffset>
                </wp:positionV>
                <wp:extent cx="6477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5pt,-52.5499pt" to="352.75pt,-5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5376545</wp:posOffset>
                </wp:positionH>
                <wp:positionV relativeFrom="paragraph">
                  <wp:posOffset>-667385</wp:posOffset>
                </wp:positionV>
                <wp:extent cx="635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35pt,-52.5499pt" to="428.35pt,-52.5499pt" o:allowincell="f" strokecolor="#FFFFFF" strokeweight="0.9882pt"/>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-667385</wp:posOffset>
                </wp:positionV>
                <wp:extent cx="6413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12550">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5pt,-52.5499pt" to="504pt,-52.5499pt" o:allowincell="f" strokecolor="#FFFFFF" strokeweight="0.9882pt"/>
            </w:pict>
          </mc:Fallback>
        </mc:AlternateContent>
      </w:r>
    </w:p>
    <w:p>
      <w:pPr>
        <w:spacing w:after="0" w:line="223" w:lineRule="exact"/>
        <w:rPr>
          <w:sz w:val="20"/>
          <w:szCs w:val="20"/>
          <w:color w:val="auto"/>
        </w:rPr>
      </w:pPr>
    </w:p>
    <w:p>
      <w:pPr>
        <w:jc w:val="both"/>
        <w:ind w:left="360" w:hanging="360"/>
        <w:spacing w:after="0" w:line="238" w:lineRule="auto"/>
        <w:tabs>
          <w:tab w:leader="none" w:pos="3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for the audit of the Company’s annual financial statements for 2024 and 2025 and services in conne ction with registration statements filed in 2024 and 2025. Audit fees also include fees related to the reviews of interim financial information included in Forms 10-Q and for consent or comfort letter procedures performed in conjunction with registration statements or completing financial transactions during the respective fiscal years.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Pre-approval Policies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policy has been for the Audit Committee to pre-approve all audit, audit-related and non-audit services performed by our independent auditors and to subsequently review the actual fees and expenses paid to our independent auditors. Accordingly, the Audit Committee pre-approved all audit, audit-related and non-audit services performed by our independent auditors and subsequently reviewed the actual fees and expenses paid to our former auditor, Marcum LLP, during fiscal 2023 and 2024 and the actual fees and expenses paid to our current auditor, Weinberg and Company, P.A. during fiscal year 2025.</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080"/>
          </w:cols>
          <w:pgMar w:left="1080" w:top="1078" w:right="1080" w:bottom="156"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19"/>
                <w:szCs w:val="19"/>
                <w:color w:val="auto"/>
              </w:rPr>
            </w:pPr>
          </w:p>
        </w:tc>
        <w:tc>
          <w:tcPr>
            <w:tcW w:w="9220" w:type="dxa"/>
            <w:vAlign w:val="bottom"/>
          </w:tcPr>
          <w:p>
            <w:pPr>
              <w:spacing w:after="0"/>
              <w:rPr>
                <w:sz w:val="19"/>
                <w:szCs w:val="19"/>
                <w:color w:val="auto"/>
              </w:rPr>
            </w:pPr>
          </w:p>
        </w:tc>
      </w:tr>
      <w:tr>
        <w:trPr>
          <w:trHeight w:val="236"/>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4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228"/>
        </w:trPr>
        <w:tc>
          <w:tcPr>
            <w:tcW w:w="7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19"/>
                <w:szCs w:val="19"/>
                <w:color w:val="auto"/>
              </w:rPr>
            </w:pPr>
          </w:p>
        </w:tc>
        <w:tc>
          <w:tcPr>
            <w:tcW w:w="92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w w:val="98"/>
              </w:rPr>
              <w:t>At the Market Offering Agreement, dated January 12, 2026, by and between Kairos Pharma,Ltd. and H.C. Wainright</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Co., LLC (incorporated by reference to Exhibit 1.2 to the Company’s Registration Statement on Form S-3 filed on</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January 12, 2026).</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Certificate of Incorporation of Kairos Pharma, Ltd. filed with the Secretary of State of the State of Delaware, dated</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May 10, 2023 (incorporated by reference to Exhibit 3.5 to the Company’s Registration Statement on Form S-1, filed</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on August 16, 2024).</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Bylaws of Kairos Pharma, Ltd. (Delaware) (incorporated by reference to Exhibit 3.6 to the Company’s Registration</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Statement on Form S-1, filed on August 16, 2024).</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Representative’s  Warrant  (incorporated by  reference to Exhibit  4.1 to  the  Company’s Registration</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Statement on Form S-1, filed on August 16, 2024).</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Company’s Current Report on Form</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8-K filed January 14,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Common Warrant (incorporated by reference to Exhibit 4.2 to the Company’s Current Report on Form 8-</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K filed January 17, 2025).</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Placement Agent Warrants (incorporated by reference to Exhibit 4.3 to the Company’s Current Report on</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8-K filed January 17,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7"/>
              </w:rPr>
              <w:t>Description of Securities (incorporated by reference to Exhibit 4.5 to the Company’s Amendment No. 1 to its Annual</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10-K/A filed April 28, 2025)</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Exclusive  Option  Agreement,  dated  March  16,  2020,  between  Cedars-Sinai  Medical  Center  and  Enviro</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  (re  Depletion  of  Mitochondrial  DNA)  (incorporated  by  reference  to  Exhibit  10.1  to  the</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filed on August 16, 2024).</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Exclusive Option Agreement, dated January 11, 2021, between Cedars-Sinai Medical Center and</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Enviro Therapeutics, Inc. (re Depletion of Mitochondrial DNA). (incorporated by reference to Exhibit 10.2 to the</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filed on August 16, 2024).</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Exclusive Option Agreement, dated March 16, 202, between Cedars-Sinai Medical Center and Enviro Therapeutics,</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Inc. (re Sensitization of Solid Tumors) (incorporated by reference to Exhibit 10.3 to the Registration Statement filed</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on August 16, 2024).</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Exclusive Option Agreement, dated January 9, 2021, between Cedars-Sinai Medical Center and</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Enviro Therapeutics, Inc. (re Sensitization of Solid Tumors) (incorporated by reference to Exhibit 10.4 to the</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filed on August 16, 2024).</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Exclusive License Agreement, dated June 21, 2021, between Cedars-Sinai Medical Center and Enviro Therapeutics,</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Inc. (re Compositions and Methods for Treating Diseases and Conditions by Depletion of Mitochondrial or Genomic</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DNA from Circulation and for Detection of Mitochondrial or Genomic DNA) (incorporated by reference to Exhibit</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10.5 to the Registration Statement filed on August 16, 2024).</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Exclusive License Agreement, dated June 2, 2021, between Cedars-Sinai Medical Center and Enviro Therapeutics,</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Inc. (re Sensitization of Tumors to Therapies Through Endoglin Antagonism) (incorporated by reference to Exhibit</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10.6 to the Registration Statement filed on August 16, 2024).</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Exclusive License Agreement, dated August 30, 2019, between Cedars-Sinai Medical Center and Kairos Pharma,</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Ltd. (as successor to AcTcell Biopharma, Inc.) (re Methods of generating activated T cells for cancer therapy)</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10.7 to the Registration Statement filed on August 16, 2024).</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Exclusive License Agreement, dated June 17, 2021, between Cedars-Sinai Medical Center and</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Kairos Pharma, Ltd. (re Methods of generating activated T cells for cancer therapy) (incorporated by reference to</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Exhibit 10.8 to the Registration Statement filed on August 16, 2024).</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Exclusive License Agreement, dated October 1, 2017, between Cedars-Sinai Medical Center and Kairos Pharma,</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Ltd. (re Methods of use of compounds that bind to RelA of NFkB) (incorporated by reference to Exhibit 10.9 to the</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filed on August 16, 2024).</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Exclusive License Agreement, dated June 17, 2021, between Cedars-Sinai Medical Center and</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Kairos Pharma, Ltd. (re Methods of use of compounds that bind to RelA of NFkB) (incorporated by reference to</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Exhibit 10.11 to the Registration Statement filed on August 16, 2024).</w:t>
            </w:r>
          </w:p>
        </w:tc>
      </w:tr>
    </w:tbl>
    <w:p>
      <w:pPr>
        <w:spacing w:after="0" w:line="200" w:lineRule="exact"/>
        <w:rPr>
          <w:sz w:val="20"/>
          <w:szCs w:val="20"/>
          <w:color w:val="auto"/>
        </w:rPr>
      </w:pP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080"/>
          </w:cols>
          <w:pgMar w:left="1080" w:top="1078" w:right="1080" w:bottom="156"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u w:val="single" w:color="auto"/>
          <w:color w:val="auto"/>
        </w:rPr>
        <w:t>Number</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548005</wp:posOffset>
                </wp:positionH>
                <wp:positionV relativeFrom="paragraph">
                  <wp:posOffset>8890</wp:posOffset>
                </wp:positionV>
                <wp:extent cx="585343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3430" cy="4763"/>
                        </a:xfrm>
                        <a:prstGeom prst="line">
                          <a:avLst/>
                        </a:prstGeom>
                        <a:solidFill>
                          <a:srgbClr val="FFFFFF"/>
                        </a:solidFill>
                        <a:ln w="12551">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5pt,0.7pt" to="504.05pt,0.7pt" o:allowincell="f" strokecolor="#000000" strokeweight="0.9883pt"/>
            </w:pict>
          </mc:Fallback>
        </mc:AlternateContent>
      </w:r>
    </w:p>
    <w:p>
      <w:pPr>
        <w:spacing w:after="0" w:line="13" w:lineRule="exact"/>
        <w:rPr>
          <w:sz w:val="20"/>
          <w:szCs w:val="20"/>
          <w:color w:val="auto"/>
        </w:rPr>
      </w:pPr>
    </w:p>
    <w:p>
      <w:pPr>
        <w:jc w:val="both"/>
        <w:ind w:left="860" w:hanging="863"/>
        <w:spacing w:after="0" w:line="237" w:lineRule="auto"/>
        <w:tabs>
          <w:tab w:leader="none" w:pos="8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Exclusive License Agreement, dated October 1, 2017, between Cedars-Sinai Medical Center and Kairos Pharma, Ltd. (re Composition and Methods for Treating Fibrosis) (incorporated by reference to Exhibit 10.12 to the Registration Statement filed on August 16, 2024).</w:t>
      </w:r>
    </w:p>
    <w:p>
      <w:pPr>
        <w:spacing w:after="0" w:line="13"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Amendment to Exclusive License Agreement, dated June 17, 2021, between Cedars-Sinai Medical Center and Kairos Pharma, Ltd. (re Composition and Methods for Treating Fibrosis) (incorporated by reference to Exhibit 10.13 to the Registration Statement filed on August 16, 2024).</w:t>
      </w:r>
    </w:p>
    <w:p>
      <w:pPr>
        <w:spacing w:after="0" w:line="12"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Exclusive License Agreement, dated March 12, 2019, between Cedars-Sinai Medical Center and Kairos Pharma, Ltd. (re Composition and Methods for Treating Cancer and Autoimmune Diseases) (incorporated by reference to Exhibit 10.14 to the Registration Statement filed on August 16, 2024).</w:t>
      </w:r>
    </w:p>
    <w:p>
      <w:pPr>
        <w:spacing w:after="0" w:line="12"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Amendment to Exclusive License Agreement, dated June 17, 2021, between Cedars-Sinai Medical Center and Kairos Pharma, Ltd. (re Composition and Methods for Treating Cancer and Autoimmune Diseases) (incorporated by reference to Exhibit 10.15 to the Registration Statement filed on August 16, 2024).</w:t>
      </w:r>
    </w:p>
    <w:p>
      <w:pPr>
        <w:spacing w:after="0" w:line="12" w:lineRule="exact"/>
        <w:rPr>
          <w:sz w:val="20"/>
          <w:szCs w:val="20"/>
          <w:color w:val="auto"/>
        </w:rPr>
      </w:pPr>
    </w:p>
    <w:p>
      <w:pPr>
        <w:jc w:val="both"/>
        <w:ind w:left="860" w:hanging="863"/>
        <w:spacing w:after="0" w:line="237" w:lineRule="auto"/>
        <w:tabs>
          <w:tab w:leader="none" w:pos="8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License and Supply Agreement, dated May 21, 2021, between Tracon Pharmaceuticals, Inc., Enviro Therapeutics, Inc., and Kairos Pharma, Ltd. (incorporated by reference to Exhibit 10.16 to the Registration Statement filed on August 16, 2024)</w:t>
      </w:r>
    </w:p>
    <w:p>
      <w:pPr>
        <w:spacing w:after="0" w:line="15" w:lineRule="exact"/>
        <w:rPr>
          <w:sz w:val="20"/>
          <w:szCs w:val="20"/>
          <w:color w:val="auto"/>
        </w:rPr>
      </w:pPr>
    </w:p>
    <w:p>
      <w:pPr>
        <w:jc w:val="both"/>
        <w:ind w:left="860" w:hanging="863"/>
        <w:spacing w:after="0" w:line="254" w:lineRule="auto"/>
        <w:tabs>
          <w:tab w:leader="none" w:pos="8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color w:val="auto"/>
        </w:rPr>
        <w:t>First Amendment to Exclusive License Agreement, dated April 18, 2021, between Cedars-Sinai Medical Center and Enviro Therapeutics, Inc. (re Methods for Treating Diseases and Conditions by Depletion of Mitochondrial or Genomic DNA) (incorporated by reference to Exhibit 10.17 to the Registration Statement filed on August 16, 2024).</w:t>
      </w:r>
    </w:p>
    <w:p>
      <w:pPr>
        <w:spacing w:after="0" w:line="1"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Second Amendment to Exclusive License Agreement, dated October 11, 2022, between Cedars-Sinai Medical Center and Enviro Therapeutics, Inc. (re Sensitization of Tumors to Therapies Through Endoglin Antagonism) (incorporated by reference to Exhibit 10.18 to the Registration Statement filed on August 16, 2024).</w:t>
      </w:r>
    </w:p>
    <w:p>
      <w:pPr>
        <w:spacing w:after="0" w:line="12" w:lineRule="exact"/>
        <w:rPr>
          <w:sz w:val="20"/>
          <w:szCs w:val="20"/>
          <w:color w:val="auto"/>
        </w:rPr>
      </w:pPr>
    </w:p>
    <w:p>
      <w:pPr>
        <w:jc w:val="both"/>
        <w:ind w:left="860" w:hanging="863"/>
        <w:spacing w:after="0" w:line="235" w:lineRule="auto"/>
        <w:tabs>
          <w:tab w:leader="none" w:pos="8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Form of Subscription Agreement for 6% Convertible Notes (incorporated by reference to Exhibit 10.20 to the Registration Statement filed on August 16, 2024).</w:t>
      </w:r>
    </w:p>
    <w:p>
      <w:pPr>
        <w:spacing w:after="0" w:line="14" w:lineRule="exact"/>
        <w:rPr>
          <w:sz w:val="20"/>
          <w:szCs w:val="20"/>
          <w:color w:val="auto"/>
        </w:rPr>
      </w:pPr>
    </w:p>
    <w:p>
      <w:pPr>
        <w:jc w:val="both"/>
        <w:ind w:left="860" w:hanging="863"/>
        <w:spacing w:after="0" w:line="235" w:lineRule="auto"/>
        <w:tabs>
          <w:tab w:leader="none" w:pos="8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Form of 6% Convertible Note (incorporated by reference to Exhibit 10.21 to the Registration Statement filed on August 16, 2024).</w:t>
      </w:r>
    </w:p>
    <w:p>
      <w:pPr>
        <w:spacing w:after="0" w:line="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Form of Investor Rights and Lock-Up Agreement for 6% Convertible Notes (incorporated by reference to Exhibit</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10.22 to the Registration Statement filed on August 16, 2024).</w:t>
      </w:r>
    </w:p>
    <w:p>
      <w:pPr>
        <w:spacing w:after="0" w:line="11" w:lineRule="exact"/>
        <w:rPr>
          <w:sz w:val="20"/>
          <w:szCs w:val="20"/>
          <w:color w:val="auto"/>
        </w:rPr>
      </w:pPr>
    </w:p>
    <w:p>
      <w:pPr>
        <w:jc w:val="both"/>
        <w:ind w:left="860" w:hanging="863"/>
        <w:spacing w:after="0" w:line="235" w:lineRule="auto"/>
        <w:tabs>
          <w:tab w:leader="none" w:pos="8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Kairos Pharma, Ltd. 2023 Equity Incentive Plan (incorporated by reference to Exhibit 10.23 to the Registration Statement filed on August 16, 2024).</w:t>
      </w:r>
    </w:p>
    <w:p>
      <w:pPr>
        <w:spacing w:after="0" w:line="13" w:lineRule="exact"/>
        <w:rPr>
          <w:sz w:val="20"/>
          <w:szCs w:val="20"/>
          <w:color w:val="auto"/>
        </w:rPr>
      </w:pPr>
    </w:p>
    <w:p>
      <w:pPr>
        <w:jc w:val="both"/>
        <w:ind w:left="860" w:hanging="863"/>
        <w:spacing w:after="0" w:line="236" w:lineRule="auto"/>
        <w:tabs>
          <w:tab w:leader="none" w:pos="8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Form of Director Offer Letter (incorporated by reference to Exhibit 10.24 to the Registration Statement filed on August 16, 2024).</w:t>
      </w:r>
    </w:p>
    <w:p>
      <w:pPr>
        <w:spacing w:after="0" w:line="12" w:lineRule="exact"/>
        <w:rPr>
          <w:sz w:val="20"/>
          <w:szCs w:val="20"/>
          <w:color w:val="auto"/>
        </w:rPr>
      </w:pPr>
    </w:p>
    <w:p>
      <w:pPr>
        <w:jc w:val="both"/>
        <w:ind w:left="860" w:hanging="863"/>
        <w:spacing w:after="0" w:line="235" w:lineRule="auto"/>
        <w:tabs>
          <w:tab w:leader="none" w:pos="8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Form of Employment Agreement for John Yu (incorporated by reference to Exhibit 10.25 to the Registration Statement filed on August 16, 2024).</w:t>
      </w:r>
    </w:p>
    <w:p>
      <w:pPr>
        <w:spacing w:after="0" w:line="13" w:lineRule="exact"/>
        <w:rPr>
          <w:sz w:val="20"/>
          <w:szCs w:val="20"/>
          <w:color w:val="auto"/>
        </w:rPr>
      </w:pPr>
    </w:p>
    <w:p>
      <w:pPr>
        <w:jc w:val="both"/>
        <w:ind w:left="860" w:hanging="863"/>
        <w:spacing w:after="0" w:line="236" w:lineRule="auto"/>
        <w:tabs>
          <w:tab w:leader="none" w:pos="8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Form of Employment Agreement with Doug Samuelson (incorporated by reference to Exhibit 10.26 to the Registration Statement filed on August 16, 2024).</w:t>
      </w:r>
    </w:p>
    <w:p>
      <w:pPr>
        <w:spacing w:after="0" w:line="13" w:lineRule="exact"/>
        <w:rPr>
          <w:sz w:val="20"/>
          <w:szCs w:val="20"/>
          <w:color w:val="auto"/>
        </w:rPr>
      </w:pPr>
    </w:p>
    <w:p>
      <w:pPr>
        <w:jc w:val="both"/>
        <w:ind w:left="860" w:hanging="863"/>
        <w:spacing w:after="0" w:line="235" w:lineRule="auto"/>
        <w:tabs>
          <w:tab w:leader="none" w:pos="84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Form of Employment Agreement for Neil Bhowmick (incorporated by reference to Exhibit 10.27 to the Registration Statement filed on August 16, 2024).</w:t>
      </w:r>
    </w:p>
    <w:p>
      <w:pPr>
        <w:spacing w:after="0" w:line="13" w:lineRule="exact"/>
        <w:rPr>
          <w:sz w:val="20"/>
          <w:szCs w:val="20"/>
          <w:color w:val="auto"/>
        </w:rPr>
      </w:pPr>
    </w:p>
    <w:p>
      <w:pPr>
        <w:jc w:val="both"/>
        <w:ind w:left="860" w:hanging="863"/>
        <w:spacing w:after="0" w:line="236" w:lineRule="auto"/>
        <w:tabs>
          <w:tab w:leader="none" w:pos="84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Form of Employment Agreement for Ramachandran Murali (incorporated by reference to Exhibit 10.28 to the Registration Statement filed on August 16, 2024).</w:t>
      </w:r>
    </w:p>
    <w:p>
      <w:pPr>
        <w:spacing w:after="0" w:line="12" w:lineRule="exact"/>
        <w:rPr>
          <w:sz w:val="20"/>
          <w:szCs w:val="20"/>
          <w:color w:val="auto"/>
        </w:rPr>
      </w:pPr>
    </w:p>
    <w:p>
      <w:pPr>
        <w:jc w:val="both"/>
        <w:ind w:left="860" w:hanging="863"/>
        <w:spacing w:after="0" w:line="235" w:lineRule="auto"/>
        <w:tabs>
          <w:tab w:leader="none" w:pos="84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Form of Indemnification Agreement between Kairos Pharma, Ltd. and each of its directors (incorporated by reference to Exhibit 10.29 to the Registration Statement filed on August 16, 2024).</w:t>
      </w:r>
    </w:p>
    <w:p>
      <w:pPr>
        <w:spacing w:after="0" w:line="13"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Conversion Agreement, dated March 7, 2024, between Cedars-Sinai Medical Center, Kairos Pharma, Ltd. and Enviro Therapeutics, Inc. (incorporated by reference to Exhibit 10.30 to the Registration Statement filed on August 16, 2024).</w:t>
      </w:r>
    </w:p>
    <w:p>
      <w:pPr>
        <w:spacing w:after="0" w:line="12"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Second Amendment to the Exclusive License Agreement to Methods and Use of Compounds that Bind to RelA of NF-kB, dated March 7, 2024, between Kairos Pharma Ltd. and Cedars-Sinai Medical Center (incorporated by reference to Exhibit 10.31 to the Registration Statement filed on August 16, 2024).</w:t>
      </w:r>
    </w:p>
    <w:p>
      <w:pPr>
        <w:spacing w:after="0" w:line="12" w:lineRule="exact"/>
        <w:rPr>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Second Amendment to the Exclusive License Agreement to Composition and Methods for Treating Fibrosis with Kairos Pharma Ltd, dated March 7, 2024, between Kairos Pharma, Ltd. and Cedars-Sinai Medical Center (incorporated by reference to Exhibit 10.32 to the Registration Statement filed on August 16, 2024).</w:t>
      </w:r>
    </w:p>
    <w:p>
      <w:pPr>
        <w:spacing w:after="0" w:line="12" w:lineRule="exact"/>
        <w:rPr>
          <w:sz w:val="20"/>
          <w:szCs w:val="20"/>
          <w:color w:val="auto"/>
        </w:rPr>
      </w:pPr>
    </w:p>
    <w:p>
      <w:pPr>
        <w:jc w:val="both"/>
        <w:ind w:left="860" w:hanging="863"/>
        <w:spacing w:after="0" w:line="237" w:lineRule="auto"/>
        <w:tabs>
          <w:tab w:leader="none" w:pos="84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Second Amendment to the Exclusive License Agreement to Compositions and Methods for Treating Cancer and Autoimmune Diseases, dated March 7, 2024, between Kairos Pharma, Ltd. and Cedars-Sinai Medical Center (incorporated by reference to Exhibit 10.33 to the Registration Statement filed on August 16, 2024).</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080"/>
          </w:cols>
          <w:pgMar w:left="1080" w:top="1078" w:right="1080" w:bottom="156" w:gutter="0" w:footer="0" w:header="0"/>
          <w:type w:val="continuous"/>
        </w:sectPr>
      </w:pPr>
    </w:p>
    <w:bookmarkStart w:id="136" w:name="page137"/>
    <w:bookmarkEnd w:id="136"/>
    <w:p>
      <w:pPr>
        <w:spacing w:after="0" w:line="186" w:lineRule="auto"/>
        <w:framePr w:w="540" w:h="170" w:wrap="auto" w:vAnchor="page" w:hAnchor="page" w:x="1040" w:y="1294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10.50</w:t>
      </w:r>
    </w:p>
    <w:p>
      <w:pPr>
        <w:spacing w:after="0" w:line="186" w:lineRule="auto"/>
        <w:framePr w:w="540" w:h="170" w:wrap="auto" w:vAnchor="page" w:hAnchor="page" w:x="1040" w:y="12249"/>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10.49</w:t>
      </w:r>
    </w:p>
    <w:p>
      <w:pPr>
        <w:spacing w:after="0" w:line="186" w:lineRule="auto"/>
        <w:framePr w:w="540" w:h="170" w:wrap="auto" w:vAnchor="page" w:hAnchor="page" w:x="1040" w:y="11553"/>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10.48</w:t>
      </w:r>
    </w:p>
    <w:p>
      <w:pPr>
        <w:spacing w:after="0" w:line="186" w:lineRule="auto"/>
        <w:framePr w:w="540" w:h="170" w:wrap="auto" w:vAnchor="page" w:hAnchor="page" w:x="1040" w:y="1085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10.47</w:t>
      </w:r>
    </w:p>
    <w:p>
      <w:pPr>
        <w:spacing w:after="0" w:line="186" w:lineRule="auto"/>
        <w:framePr w:w="540" w:h="170" w:wrap="auto" w:vAnchor="page" w:hAnchor="page" w:x="1040" w:y="10161"/>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10.46</w:t>
      </w:r>
    </w:p>
    <w:p>
      <w:pPr>
        <w:spacing w:after="0" w:line="186" w:lineRule="auto"/>
        <w:framePr w:w="540" w:h="170" w:wrap="auto" w:vAnchor="page" w:hAnchor="page" w:x="1040" w:y="9466"/>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10.45</w:t>
      </w:r>
    </w:p>
    <w:p>
      <w:pPr>
        <w:spacing w:after="0" w:line="186" w:lineRule="auto"/>
        <w:framePr w:w="540" w:h="170" w:wrap="auto" w:vAnchor="page" w:hAnchor="page" w:x="1040" w:y="877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10.44</w:t>
      </w:r>
    </w:p>
    <w:p>
      <w:pPr>
        <w:spacing w:after="0" w:line="186" w:lineRule="auto"/>
        <w:framePr w:w="540" w:h="170" w:wrap="auto" w:vAnchor="page" w:hAnchor="page" w:x="1040" w:y="8074"/>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10.43</w:t>
      </w:r>
    </w:p>
    <w:p>
      <w:pPr>
        <w:spacing w:after="0" w:line="186" w:lineRule="auto"/>
        <w:framePr w:w="540" w:h="170" w:wrap="auto" w:vAnchor="page" w:hAnchor="page" w:x="1040" w:y="737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10.42</w:t>
      </w:r>
    </w:p>
    <w:p>
      <w:pPr>
        <w:spacing w:after="0" w:line="186" w:lineRule="auto"/>
        <w:framePr w:w="540" w:h="170" w:wrap="auto" w:vAnchor="page" w:hAnchor="page" w:x="1040" w:y="6682"/>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10.41</w:t>
      </w:r>
    </w:p>
    <w:p>
      <w:pPr>
        <w:spacing w:after="0" w:line="186" w:lineRule="auto"/>
        <w:framePr w:w="540" w:h="170" w:wrap="auto" w:vAnchor="page" w:hAnchor="page" w:x="1040" w:y="3204"/>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10.34</w:t>
      </w:r>
    </w:p>
    <w:p>
      <w:pPr>
        <w:spacing w:after="0" w:line="186" w:lineRule="auto"/>
        <w:framePr w:w="540" w:h="170" w:wrap="auto" w:vAnchor="page" w:hAnchor="page" w:x="1040" w:y="366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10.35</w:t>
      </w:r>
    </w:p>
    <w:p>
      <w:pPr>
        <w:spacing w:after="0" w:line="186" w:lineRule="auto"/>
        <w:framePr w:w="540" w:h="170" w:wrap="auto" w:vAnchor="page" w:hAnchor="page" w:x="1040" w:y="4132"/>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10.36</w:t>
      </w:r>
    </w:p>
    <w:p>
      <w:pPr>
        <w:spacing w:after="0" w:line="186" w:lineRule="auto"/>
        <w:framePr w:w="540" w:h="170" w:wrap="auto" w:vAnchor="page" w:hAnchor="page" w:x="1040" w:y="459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10.37</w:t>
      </w:r>
    </w:p>
    <w:p>
      <w:pPr>
        <w:spacing w:after="0" w:line="186" w:lineRule="auto"/>
        <w:framePr w:w="540" w:h="170" w:wrap="auto" w:vAnchor="page" w:hAnchor="page" w:x="1040" w:y="5059"/>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10.38</w:t>
      </w:r>
    </w:p>
    <w:p>
      <w:pPr>
        <w:spacing w:after="0" w:line="186" w:lineRule="auto"/>
        <w:framePr w:w="540" w:h="170" w:wrap="auto" w:vAnchor="page" w:hAnchor="page" w:x="1040" w:y="5523"/>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10.39</w:t>
      </w:r>
    </w:p>
    <w:p>
      <w:pPr>
        <w:spacing w:after="0" w:line="186" w:lineRule="auto"/>
        <w:framePr w:w="540" w:h="170" w:wrap="auto" w:vAnchor="page" w:hAnchor="page" w:x="1040" w:y="598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10.40</w:t>
      </w:r>
    </w:p>
    <w:p>
      <w:pPr>
        <w:spacing w:after="0" w:line="186" w:lineRule="auto"/>
        <w:framePr w:w="540" w:h="170" w:wrap="auto" w:vAnchor="page" w:hAnchor="page" w:x="1040" w:y="250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10.33</w:t>
      </w:r>
    </w:p>
    <w:p>
      <w:pPr>
        <w:jc w:val="both"/>
        <w:spacing w:after="0" w:line="227" w:lineRule="auto"/>
        <w:framePr w:w="800" w:h="654" w:wrap="auto" w:vAnchor="page" w:hAnchor="page" w:x="1040" w:y="1096"/>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Exhibit </w:t>
      </w:r>
      <w:r>
        <w:rPr>
          <w:rFonts w:ascii="Times New Roman" w:cs="Times New Roman" w:eastAsia="Times New Roman" w:hAnsi="Times New Roman"/>
          <w:sz w:val="20"/>
          <w:szCs w:val="20"/>
          <w:b w:val="1"/>
          <w:bCs w:val="1"/>
          <w:u w:val="single" w:color="auto"/>
          <w:color w:val="auto"/>
        </w:rPr>
        <w:t xml:space="preserve">Number </w:t>
      </w:r>
      <w:r>
        <w:rPr>
          <w:rFonts w:ascii="Times New Roman" w:cs="Times New Roman" w:eastAsia="Times New Roman" w:hAnsi="Times New Roman"/>
          <w:sz w:val="20"/>
          <w:szCs w:val="20"/>
          <w:color w:val="auto"/>
        </w:rPr>
        <w:t>10.32</w:t>
      </w:r>
    </w:p>
    <w:p>
      <w:pPr>
        <w:ind w:left="860"/>
        <w:spacing w:after="0"/>
        <w:rPr>
          <w:sz w:val="20"/>
          <w:szCs w:val="20"/>
          <w:color w:val="auto"/>
        </w:rPr>
      </w:pPr>
      <w:r>
        <w:rPr>
          <w:rFonts w:ascii="Times New Roman" w:cs="Times New Roman" w:eastAsia="Times New Roman" w:hAnsi="Times New Roman"/>
          <w:sz w:val="20"/>
          <w:szCs w:val="20"/>
          <w:b w:val="1"/>
          <w:bCs w:val="1"/>
          <w:color w:val="auto"/>
        </w:rPr>
        <w:t>Description</w:t>
      </w:r>
    </w:p>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column">
                  <wp:posOffset>548005</wp:posOffset>
                </wp:positionH>
                <wp:positionV relativeFrom="paragraph">
                  <wp:posOffset>8890</wp:posOffset>
                </wp:positionV>
                <wp:extent cx="585343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3430" cy="4763"/>
                        </a:xfrm>
                        <a:prstGeom prst="line">
                          <a:avLst/>
                        </a:prstGeom>
                        <a:solidFill>
                          <a:srgbClr val="FFFFFF"/>
                        </a:solidFill>
                        <a:ln w="12551">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5pt,0.7pt" to="504.05pt,0.7pt" o:allowincell="f" strokecolor="#000000" strokeweight="0.9883pt"/>
            </w:pict>
          </mc:Fallback>
        </mc:AlternateContent>
      </w:r>
    </w:p>
    <w:p>
      <w:pPr>
        <w:spacing w:after="0" w:line="13" w:lineRule="exact"/>
        <w:rPr>
          <w:rFonts w:ascii="Times New Roman" w:cs="Times New Roman" w:eastAsia="Times New Roman" w:hAnsi="Times New Roman"/>
          <w:sz w:val="20"/>
          <w:szCs w:val="20"/>
          <w:color w:val="auto"/>
        </w:rPr>
      </w:pPr>
    </w:p>
    <w:p>
      <w:pPr>
        <w:jc w:val="both"/>
        <w:ind w:left="860"/>
        <w:spacing w:after="0" w:line="238" w:lineRule="auto"/>
        <w:rPr>
          <w:sz w:val="20"/>
          <w:szCs w:val="20"/>
          <w:color w:val="auto"/>
        </w:rPr>
      </w:pPr>
      <w:r>
        <w:rPr>
          <w:rFonts w:ascii="Times New Roman" w:cs="Times New Roman" w:eastAsia="Times New Roman" w:hAnsi="Times New Roman"/>
          <w:sz w:val="20"/>
          <w:szCs w:val="20"/>
          <w:color w:val="auto"/>
        </w:rPr>
        <w:t>Third Amendment to Exclusive License to Compositions and Methods for Treating Diseases and Conditions by Depletion of Mitochondrial or Genomic DNA, dated March 7, 2024, between Enviro Therapeutics, Inc. and Cedars-Sinai Medical Center(incorporated by reference to Exhibit 10.34 to the Registration Statement filed on August 16, 2024).</w:t>
      </w:r>
    </w:p>
    <w:p>
      <w:pPr>
        <w:spacing w:after="0" w:line="15"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Third Amendment to the Exclusive License Agreement to Sensitization of Tumors to Therapies Through Endoglin Antoganism, dated March 7, 2024, between Enviro Therapeutics, Inc. and Cedars-Sinai Medical Center (incorporated by reference to Exhibit 10.35 to the Registration Statement filed on August 16, 2024).</w:t>
      </w:r>
    </w:p>
    <w:p>
      <w:pPr>
        <w:spacing w:after="0" w:line="15" w:lineRule="exact"/>
        <w:rPr>
          <w:rFonts w:ascii="Times New Roman" w:cs="Times New Roman" w:eastAsia="Times New Roman" w:hAnsi="Times New Roman"/>
          <w:sz w:val="20"/>
          <w:szCs w:val="20"/>
          <w:color w:val="auto"/>
        </w:rPr>
      </w:pPr>
    </w:p>
    <w:p>
      <w:pPr>
        <w:jc w:val="both"/>
        <w:ind w:left="860"/>
        <w:spacing w:after="0" w:line="235" w:lineRule="auto"/>
        <w:rPr>
          <w:sz w:val="20"/>
          <w:szCs w:val="20"/>
          <w:color w:val="auto"/>
        </w:rPr>
      </w:pPr>
      <w:r>
        <w:rPr>
          <w:rFonts w:ascii="Times New Roman" w:cs="Times New Roman" w:eastAsia="Times New Roman" w:hAnsi="Times New Roman"/>
          <w:sz w:val="20"/>
          <w:szCs w:val="20"/>
          <w:color w:val="auto"/>
        </w:rPr>
        <w:t>Form of Loan Agreement between the Company and Certain Officers (incorporated by reference to Exhibit 10.36 to the Registration Statement filed on August 16, 2024).</w:t>
      </w:r>
    </w:p>
    <w:p>
      <w:pPr>
        <w:spacing w:after="0" w:line="13" w:lineRule="exact"/>
        <w:rPr>
          <w:rFonts w:ascii="Times New Roman" w:cs="Times New Roman" w:eastAsia="Times New Roman" w:hAnsi="Times New Roman"/>
          <w:sz w:val="20"/>
          <w:szCs w:val="20"/>
          <w:color w:val="auto"/>
        </w:rPr>
      </w:pPr>
    </w:p>
    <w:p>
      <w:pPr>
        <w:ind w:left="860"/>
        <w:spacing w:after="0" w:line="224" w:lineRule="auto"/>
        <w:rPr>
          <w:sz w:val="20"/>
          <w:szCs w:val="20"/>
          <w:color w:val="auto"/>
        </w:rPr>
      </w:pPr>
      <w:r>
        <w:rPr>
          <w:rFonts w:ascii="Times New Roman" w:cs="Times New Roman" w:eastAsia="Times New Roman" w:hAnsi="Times New Roman"/>
          <w:sz w:val="20"/>
          <w:szCs w:val="20"/>
          <w:color w:val="auto"/>
        </w:rPr>
        <w:t xml:space="preserve">Master Services Agreement, dated August 1, 2024, between Kairos Pharma Limited and Prevail InfoWorks, Inc. (incorporated by reference to Exhibit 10.37 to the Registration Statement filed on August 16, 2024)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Amendment to Loan Agreement, dated August 16, 2024, between the Company and John S. Yu (incorporated by reference to Exhibit 10.38 to the Registration Statement filed on August 16, 2024).</w:t>
      </w:r>
    </w:p>
    <w:p>
      <w:pPr>
        <w:spacing w:after="0" w:line="15" w:lineRule="exact"/>
        <w:rPr>
          <w:rFonts w:ascii="Times New Roman" w:cs="Times New Roman" w:eastAsia="Times New Roman" w:hAnsi="Times New Roman"/>
          <w:sz w:val="20"/>
          <w:szCs w:val="20"/>
          <w:color w:val="auto"/>
        </w:rPr>
      </w:pPr>
    </w:p>
    <w:p>
      <w:pPr>
        <w:jc w:val="both"/>
        <w:ind w:left="860"/>
        <w:spacing w:after="0" w:line="235" w:lineRule="auto"/>
        <w:rPr>
          <w:sz w:val="20"/>
          <w:szCs w:val="20"/>
          <w:color w:val="auto"/>
        </w:rPr>
      </w:pPr>
      <w:r>
        <w:rPr>
          <w:rFonts w:ascii="Times New Roman" w:cs="Times New Roman" w:eastAsia="Times New Roman" w:hAnsi="Times New Roman"/>
          <w:sz w:val="20"/>
          <w:szCs w:val="20"/>
          <w:color w:val="auto"/>
        </w:rPr>
        <w:t>Amendment to Loan Agreement, dated August 16, 2024, between the Company and Doug Samuelson (incorporated by reference to Exhibit 10.39 to the Registration Statement filed on August 16, 2024).</w:t>
      </w:r>
    </w:p>
    <w:p>
      <w:pPr>
        <w:spacing w:after="0" w:line="14" w:lineRule="exact"/>
        <w:rPr>
          <w:rFonts w:ascii="Times New Roman" w:cs="Times New Roman" w:eastAsia="Times New Roman" w:hAnsi="Times New Roman"/>
          <w:sz w:val="20"/>
          <w:szCs w:val="20"/>
          <w:color w:val="auto"/>
        </w:rPr>
      </w:pPr>
    </w:p>
    <w:p>
      <w:pPr>
        <w:jc w:val="both"/>
        <w:ind w:left="860"/>
        <w:spacing w:after="0" w:line="235" w:lineRule="auto"/>
        <w:rPr>
          <w:sz w:val="20"/>
          <w:szCs w:val="20"/>
          <w:color w:val="auto"/>
        </w:rPr>
      </w:pPr>
      <w:r>
        <w:rPr>
          <w:rFonts w:ascii="Times New Roman" w:cs="Times New Roman" w:eastAsia="Times New Roman" w:hAnsi="Times New Roman"/>
          <w:sz w:val="20"/>
          <w:szCs w:val="20"/>
          <w:color w:val="auto"/>
        </w:rPr>
        <w:t>Amendment to Loan Agreement, dated August 16, 2024, between the Company and Neil Bhowmick (incorporated by reference to Exhibit 10.40 to the Registration Statement filed on August 16, 2024).</w:t>
      </w:r>
    </w:p>
    <w:p>
      <w:pPr>
        <w:spacing w:after="0" w:line="13" w:lineRule="exact"/>
        <w:rPr>
          <w:rFonts w:ascii="Times New Roman" w:cs="Times New Roman" w:eastAsia="Times New Roman" w:hAnsi="Times New Roman"/>
          <w:sz w:val="20"/>
          <w:szCs w:val="20"/>
          <w:color w:val="auto"/>
        </w:rPr>
      </w:pPr>
    </w:p>
    <w:p>
      <w:pPr>
        <w:jc w:val="both"/>
        <w:ind w:left="860"/>
        <w:spacing w:after="0" w:line="235" w:lineRule="auto"/>
        <w:rPr>
          <w:sz w:val="20"/>
          <w:szCs w:val="20"/>
          <w:color w:val="auto"/>
        </w:rPr>
      </w:pPr>
      <w:r>
        <w:rPr>
          <w:rFonts w:ascii="Times New Roman" w:cs="Times New Roman" w:eastAsia="Times New Roman" w:hAnsi="Times New Roman"/>
          <w:sz w:val="20"/>
          <w:szCs w:val="20"/>
          <w:color w:val="auto"/>
        </w:rPr>
        <w:t>Bioassay Services Agreement, dated September 20, 2024, between the Company and PreCheck (incorporated by reference to Exhibit 10.1 to the Company’s current Report on Form 8-K filed on September 24, 2024).</w:t>
      </w:r>
    </w:p>
    <w:p>
      <w:pPr>
        <w:spacing w:after="0" w:line="14"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Form of Advertising Services Agreement, dated September 23, 2024, between the Company and CEO.CA Technologies, Inc. (incorporated by reference to Exhibit 10.1 to the Company’s Current Report on Form 8-K filed on September 27, 2024).</w:t>
      </w:r>
    </w:p>
    <w:p>
      <w:pPr>
        <w:spacing w:after="0" w:line="13" w:lineRule="exact"/>
        <w:rPr>
          <w:rFonts w:ascii="Times New Roman" w:cs="Times New Roman" w:eastAsia="Times New Roman" w:hAnsi="Times New Roman"/>
          <w:sz w:val="20"/>
          <w:szCs w:val="20"/>
          <w:color w:val="auto"/>
        </w:rPr>
      </w:pPr>
    </w:p>
    <w:p>
      <w:pPr>
        <w:jc w:val="both"/>
        <w:ind w:left="860"/>
        <w:spacing w:after="0" w:line="238" w:lineRule="auto"/>
        <w:rPr>
          <w:sz w:val="20"/>
          <w:szCs w:val="20"/>
          <w:color w:val="auto"/>
        </w:rPr>
      </w:pPr>
      <w:r>
        <w:rPr>
          <w:rFonts w:ascii="Times New Roman" w:cs="Times New Roman" w:eastAsia="Times New Roman" w:hAnsi="Times New Roman"/>
          <w:sz w:val="20"/>
          <w:szCs w:val="20"/>
          <w:color w:val="auto"/>
        </w:rPr>
        <w:t>Form of Advisory &amp; Consulting Agreement, dated September 23, 2024, between the Company and Belair Capital Advisors Inc. (incorporated by reference to Exhibit 10.2 to the Company’s Current Report on Form 8-K filed on September 27, 2024).</w:t>
      </w:r>
    </w:p>
    <w:p>
      <w:pPr>
        <w:spacing w:after="0" w:line="12" w:lineRule="exact"/>
        <w:rPr>
          <w:rFonts w:ascii="Times New Roman" w:cs="Times New Roman" w:eastAsia="Times New Roman" w:hAnsi="Times New Roman"/>
          <w:sz w:val="20"/>
          <w:szCs w:val="20"/>
          <w:color w:val="auto"/>
        </w:rPr>
      </w:pPr>
    </w:p>
    <w:p>
      <w:pPr>
        <w:jc w:val="both"/>
        <w:ind w:left="860"/>
        <w:spacing w:after="0" w:line="238" w:lineRule="auto"/>
        <w:rPr>
          <w:sz w:val="20"/>
          <w:szCs w:val="20"/>
          <w:color w:val="auto"/>
        </w:rPr>
      </w:pPr>
      <w:r>
        <w:rPr>
          <w:rFonts w:ascii="Times New Roman" w:cs="Times New Roman" w:eastAsia="Times New Roman" w:hAnsi="Times New Roman"/>
          <w:sz w:val="20"/>
          <w:szCs w:val="20"/>
          <w:color w:val="auto"/>
        </w:rPr>
        <w:t>Consulting Agreement, dated October 1, 2024, between Kairos Pharma, Ltd, Cross Current Capital LLC and Alan Masley (incorporated by reference to Exhibit 10.1 to the Company’s Current Report on Form 8-K filed October 4, 2024).</w:t>
      </w:r>
    </w:p>
    <w:p>
      <w:pPr>
        <w:spacing w:after="0" w:line="12" w:lineRule="exact"/>
        <w:rPr>
          <w:rFonts w:ascii="Times New Roman" w:cs="Times New Roman" w:eastAsia="Times New Roman" w:hAnsi="Times New Roman"/>
          <w:sz w:val="20"/>
          <w:szCs w:val="20"/>
          <w:color w:val="auto"/>
        </w:rPr>
      </w:pPr>
    </w:p>
    <w:p>
      <w:pPr>
        <w:jc w:val="both"/>
        <w:ind w:left="860"/>
        <w:spacing w:after="0" w:line="238" w:lineRule="auto"/>
        <w:rPr>
          <w:sz w:val="20"/>
          <w:szCs w:val="20"/>
          <w:color w:val="auto"/>
        </w:rPr>
      </w:pPr>
      <w:r>
        <w:rPr>
          <w:rFonts w:ascii="Times New Roman" w:cs="Times New Roman" w:eastAsia="Times New Roman" w:hAnsi="Times New Roman"/>
          <w:sz w:val="20"/>
          <w:szCs w:val="20"/>
          <w:color w:val="auto"/>
        </w:rPr>
        <w:t>Purchase Agreement, dated November 12, 2024, by and between Kairos Pharma, Ltd. and Helena Global Investment Opportunities I Ltd. (incorporated by reference to Exhibit 10.5 to the Company’s Quartey Report on Form 10-Q, filed on November 14, 2024).</w:t>
      </w:r>
    </w:p>
    <w:p>
      <w:pPr>
        <w:spacing w:after="0" w:line="12"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Second Conversion Agreement, dated November 13, 2024, by and between Kairos Pharma, Ltd. and Cedars-Sinai Medical Center. (incorporated by reference to Exhibit 10.6 to the Company’s Quartey Report on Form 10-Q, filed on November 14, 2024).</w:t>
      </w:r>
    </w:p>
    <w:p>
      <w:pPr>
        <w:spacing w:after="0" w:line="15"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Third Amendment to Exclusive License Agreement (Cancer Autoimmune), dated November 13, 2024, by and between Kairos Pharma, Ltd. and Cedars-Sinai Medical Center. (incorporated by reference to Exhibit 10.7 to the Company’s Quartey Report on Form 10-Q, filed on November 14, 2024).</w:t>
      </w:r>
    </w:p>
    <w:p>
      <w:pPr>
        <w:spacing w:after="0" w:line="14" w:lineRule="exact"/>
        <w:rPr>
          <w:rFonts w:ascii="Times New Roman" w:cs="Times New Roman" w:eastAsia="Times New Roman" w:hAnsi="Times New Roman"/>
          <w:sz w:val="20"/>
          <w:szCs w:val="20"/>
          <w:color w:val="auto"/>
        </w:rPr>
      </w:pPr>
    </w:p>
    <w:p>
      <w:pPr>
        <w:jc w:val="both"/>
        <w:ind w:left="860"/>
        <w:spacing w:after="0" w:line="238" w:lineRule="auto"/>
        <w:rPr>
          <w:sz w:val="20"/>
          <w:szCs w:val="20"/>
          <w:color w:val="auto"/>
        </w:rPr>
      </w:pPr>
      <w:r>
        <w:rPr>
          <w:rFonts w:ascii="Times New Roman" w:cs="Times New Roman" w:eastAsia="Times New Roman" w:hAnsi="Times New Roman"/>
          <w:sz w:val="20"/>
          <w:szCs w:val="20"/>
          <w:color w:val="auto"/>
        </w:rPr>
        <w:t>Fourth Amendment to Exclusive License Agreement (Depletion of DNA), dated November 13, 2024, by and between Kairos Pharma, Ltd. and Cedars-Sinai Medical Center and Enviro Therapeutics, Inc (incorporated by reference to Exhibit 10.8 to the Company’s Quartey Report on Form 10-Q, filed on November 14, 2024).</w:t>
      </w:r>
    </w:p>
    <w:p>
      <w:pPr>
        <w:spacing w:after="0" w:line="12" w:lineRule="exact"/>
        <w:rPr>
          <w:rFonts w:ascii="Times New Roman" w:cs="Times New Roman" w:eastAsia="Times New Roman" w:hAnsi="Times New Roman"/>
          <w:sz w:val="20"/>
          <w:szCs w:val="20"/>
          <w:color w:val="auto"/>
        </w:rPr>
      </w:pPr>
    </w:p>
    <w:p>
      <w:pPr>
        <w:jc w:val="both"/>
        <w:ind w:left="860"/>
        <w:spacing w:after="0" w:line="238" w:lineRule="auto"/>
        <w:rPr>
          <w:sz w:val="20"/>
          <w:szCs w:val="20"/>
          <w:color w:val="auto"/>
        </w:rPr>
      </w:pPr>
      <w:r>
        <w:rPr>
          <w:rFonts w:ascii="Times New Roman" w:cs="Times New Roman" w:eastAsia="Times New Roman" w:hAnsi="Times New Roman"/>
          <w:sz w:val="20"/>
          <w:szCs w:val="20"/>
          <w:color w:val="auto"/>
        </w:rPr>
        <w:t>Third Amendment to Exclusive License Agreement (Fibrosis), dated November 13, 2024, by and between Kairos Pharma, Ltd. and Cedars-Sinai Medical Center. (incorporated by reference to Exhibit 10.9 to the Company’s Quartey Report on Form 10-Q, filed on November 14, 2024).</w:t>
      </w:r>
    </w:p>
    <w:p>
      <w:pPr>
        <w:spacing w:after="0" w:line="12"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Third Amendment to Exclusive License Agreement (RelA of NF-kB), dated November 13, 2024, by and between Kairos Pharma, Ltd. and Cedars-Sinai Medical Center. (incorporated by reference to Exhibit 10.10 to the Company’s Quartey Report on Form 10-Q, filed on November 14, 2024).</w:t>
      </w:r>
    </w:p>
    <w:p>
      <w:pPr>
        <w:spacing w:after="0" w:line="15"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Fourth Amendment to Exclusive License Agreement (Sensitization of Solid Tumors), dated November 13, 2024, by and between Enviro Therapeutics Inc. and Cedars-Sinai Medical Center. (incorporated by reference to Exhibit 10.11 to the Company’s Quartey Report on Form 10-Q, filed on November 14, 2024).</w:t>
      </w:r>
    </w:p>
    <w:p>
      <w:pPr>
        <w:spacing w:after="0" w:line="15" w:lineRule="exact"/>
        <w:rPr>
          <w:rFonts w:ascii="Times New Roman" w:cs="Times New Roman" w:eastAsia="Times New Roman" w:hAnsi="Times New Roman"/>
          <w:sz w:val="20"/>
          <w:szCs w:val="20"/>
          <w:color w:val="auto"/>
        </w:rPr>
      </w:pPr>
    </w:p>
    <w:p>
      <w:pPr>
        <w:jc w:val="both"/>
        <w:ind w:left="860"/>
        <w:spacing w:after="0" w:line="237" w:lineRule="auto"/>
        <w:rPr>
          <w:sz w:val="20"/>
          <w:szCs w:val="20"/>
          <w:color w:val="auto"/>
        </w:rPr>
      </w:pPr>
      <w:r>
        <w:rPr>
          <w:rFonts w:ascii="Times New Roman" w:cs="Times New Roman" w:eastAsia="Times New Roman" w:hAnsi="Times New Roman"/>
          <w:sz w:val="20"/>
          <w:szCs w:val="20"/>
          <w:color w:val="auto"/>
        </w:rPr>
        <w:t>Form of the Amendment No.1 to the Employment Agreement by and between Kairos Pharma, Ltd and Doug Samuelson (incorporated by reference to Exhibit 10.12 to the Company’s Quartey Report on Form 10-Q, filed on November 14, 2024).</w:t>
      </w:r>
    </w:p>
    <w:p>
      <w:pPr>
        <w:spacing w:after="0" w:line="13" w:lineRule="exact"/>
        <w:rPr>
          <w:rFonts w:ascii="Times New Roman" w:cs="Times New Roman" w:eastAsia="Times New Roman" w:hAnsi="Times New Roman"/>
          <w:sz w:val="20"/>
          <w:szCs w:val="20"/>
          <w:color w:val="auto"/>
        </w:rPr>
      </w:pPr>
    </w:p>
    <w:p>
      <w:pPr>
        <w:jc w:val="both"/>
        <w:ind w:left="860" w:hanging="863"/>
        <w:spacing w:after="0" w:line="238" w:lineRule="auto"/>
        <w:tabs>
          <w:tab w:leader="none" w:pos="84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color w:val="auto"/>
        </w:rPr>
        <w:t>Form of the Amendment No.1 to the Employment Agreement by and between Kairos Pharma, Ltd and Dr. Ramachandran Murali (incorporated by reference to Exhibit 10.13 to the Company’s Quartey Report on Form 10-Q, filed on November 14, 2024).</w:t>
      </w:r>
    </w:p>
    <w:p>
      <w:pPr>
        <w:spacing w:after="0" w:line="200" w:lineRule="exact"/>
        <w:rPr>
          <w:rFonts w:ascii="Times New Roman" w:cs="Times New Roman" w:eastAsia="Times New Roman" w:hAnsi="Times New Roman"/>
          <w:sz w:val="20"/>
          <w:szCs w:val="20"/>
          <w:color w:val="auto"/>
        </w:rPr>
      </w:pPr>
    </w:p>
    <w:p>
      <w:pPr>
        <w:spacing w:after="0" w:line="374" w:lineRule="exact"/>
        <w:rPr>
          <w:rFonts w:ascii="Times New Roman" w:cs="Times New Roman" w:eastAsia="Times New Roman" w:hAnsi="Times New Roman"/>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080"/>
          </w:cols>
          <w:pgMar w:left="1080" w:top="1309" w:right="1080" w:bottom="156"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19"/>
                <w:szCs w:val="19"/>
                <w:color w:val="auto"/>
              </w:rPr>
            </w:pPr>
          </w:p>
        </w:tc>
        <w:tc>
          <w:tcPr>
            <w:tcW w:w="9220" w:type="dxa"/>
            <w:vAlign w:val="bottom"/>
          </w:tcPr>
          <w:p>
            <w:pPr>
              <w:spacing w:after="0"/>
              <w:rPr>
                <w:sz w:val="19"/>
                <w:szCs w:val="19"/>
                <w:color w:val="auto"/>
              </w:rPr>
            </w:pPr>
          </w:p>
        </w:tc>
      </w:tr>
      <w:tr>
        <w:trPr>
          <w:trHeight w:val="236"/>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4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28"/>
        </w:trPr>
        <w:tc>
          <w:tcPr>
            <w:tcW w:w="7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10.52</w:t>
            </w:r>
          </w:p>
        </w:tc>
        <w:tc>
          <w:tcPr>
            <w:tcW w:w="140" w:type="dxa"/>
            <w:vAlign w:val="bottom"/>
          </w:tcPr>
          <w:p>
            <w:pPr>
              <w:spacing w:after="0"/>
              <w:rPr>
                <w:sz w:val="19"/>
                <w:szCs w:val="19"/>
                <w:color w:val="auto"/>
              </w:rPr>
            </w:pPr>
          </w:p>
        </w:tc>
        <w:tc>
          <w:tcPr>
            <w:tcW w:w="92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Form of the Amendment No.1 to the Employment Agreement by and between Kairos Pharma, Ltd and Dr. Neil</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Bhowmick (incorporated by reference to Exhibit 10.14 to the Company’s Quartey Report on Form 10-Q, filed on</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November 14, 2024).</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10.53</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Amendment No. 1 to Employment Agreement by and between Kairos Pharma, Ltd. and John S. Yu</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10.15 to the Company’s Quartey Report on Form 10-Q, filed on November</w:t>
            </w:r>
          </w:p>
        </w:tc>
      </w:tr>
      <w:tr>
        <w:trPr>
          <w:trHeight w:val="231"/>
        </w:trPr>
        <w:tc>
          <w:tcPr>
            <w:tcW w:w="720" w:type="dxa"/>
            <w:vAlign w:val="bottom"/>
          </w:tcPr>
          <w:p>
            <w:pPr>
              <w:spacing w:after="0"/>
              <w:rPr>
                <w:sz w:val="20"/>
                <w:szCs w:val="20"/>
                <w:color w:val="auto"/>
              </w:rPr>
            </w:pPr>
          </w:p>
        </w:tc>
        <w:tc>
          <w:tcPr>
            <w:tcW w:w="9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14, 2024).</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10.54</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Director Offer Letter, dated December 10, 2024, between Kairos Pharma, Ltd. and Rahul Singhvi (incorporated by</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 to the Current Report on Form 8-K filed on December 13, 2024).</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10.55</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Form of Securities Purchase Agreement (incorporated by reference to Exhibit 10.1 to the Company’s Current Report</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January 14,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10.56</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Form of Registration Rights Agreement (incorporated by reference to Exhibit 10.2 to the Company’s Current Report</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January 14,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10.57</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Lock-up Agreement (incorporated by reference to Exhibit 10.3 to the Company’s Current Report on Form</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8-K filed January 14,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10.58</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of Amended and Restated Securities Purchase Agreement (incorporated by reference to Exhibit 10.1 to the</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Company’s Current Report on Form 8-K filed January 17,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10.59</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Placement Agent Agreement, dated January 16, 2025, between Kairos Pharma, Ltd. and Boustead Securities LLC</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10.3 to the Company’s Current Report on Form 8-K filed January 17,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10.60</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Services Agreement, dated June 10, 2025, between Kairos Pharma Ltd and the Company and Barretto Pacific</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Corporation (incorporated by reference to Exhibit 99.1 to the Company’s Current Report on Form 8-K filed June</w:t>
            </w:r>
          </w:p>
        </w:tc>
      </w:tr>
      <w:tr>
        <w:trPr>
          <w:trHeight w:val="232"/>
        </w:trPr>
        <w:tc>
          <w:tcPr>
            <w:tcW w:w="720" w:type="dxa"/>
            <w:vAlign w:val="bottom"/>
          </w:tcPr>
          <w:p>
            <w:pPr>
              <w:spacing w:after="0"/>
              <w:rPr>
                <w:sz w:val="20"/>
                <w:szCs w:val="20"/>
                <w:color w:val="auto"/>
              </w:rPr>
            </w:pPr>
          </w:p>
        </w:tc>
        <w:tc>
          <w:tcPr>
            <w:tcW w:w="9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12,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Novation Agreement between Kairos Pharma, Ltd., Enviro Therapeutics, Inc. and Cedars-Sinao Medical Center</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10.1 to the Company’s Current Report on Form 8-K filed October 7, 2025).</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Novation Agreement between Kairos Pharma Ltd, Enviro Therapeutics, Inc. and Tracon Pharmaceuticals, Inc.</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10.2 to the Company’s Current Report on Form 8-K filed October 7,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10.63</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Form of Restricted Stock Unit Grant Agreement (incorporated by reference to Exhibit 10.1 to the Current Report on</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Form 8-K filed October 15,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10.64</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Novation Agreement, dated October 7, 2025 but effective April 17, 2025, between Kairos Pharma, Ltd, Enviro</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 and Tracon Pharmaceuticals, Inc. (incorporated by reference to the Current Report on Form 8-K</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filed October 7, 2025).</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10.65</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Novation Agreement, dated October 7, 2025, between Kairos Phrma, Ltd., Enviro Therapeutics, Inc. and Tracon</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Pharmaceuticals, Inc. (incorporated by reference to the Current Report on Form 8-K filed October 7,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10.66</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8"/>
              </w:rPr>
              <w:t>Form of Amendment No. 83 to Sales Agreement, dated November 12, 2025, between Kairos Pharma Ltd. and Lonza</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Sales AG (incorporated by reference to Exhibit 10.3 to the Quarterly Report on Form 10-Q filed November 14,</w:t>
            </w:r>
          </w:p>
        </w:tc>
      </w:tr>
      <w:tr>
        <w:trPr>
          <w:trHeight w:val="233"/>
        </w:trPr>
        <w:tc>
          <w:tcPr>
            <w:tcW w:w="720" w:type="dxa"/>
            <w:vAlign w:val="bottom"/>
          </w:tcPr>
          <w:p>
            <w:pPr>
              <w:spacing w:after="0"/>
              <w:rPr>
                <w:sz w:val="20"/>
                <w:szCs w:val="20"/>
                <w:color w:val="auto"/>
              </w:rPr>
            </w:pPr>
          </w:p>
        </w:tc>
        <w:tc>
          <w:tcPr>
            <w:tcW w:w="9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10.67</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7"/>
              </w:rPr>
              <w:t>Form of Restricted Stock Unit Grant Agreement (incorporated by reference to Exhibit 10.1 to the Company’s Current</w:t>
            </w:r>
          </w:p>
        </w:tc>
      </w:tr>
      <w:tr>
        <w:trPr>
          <w:trHeight w:val="231"/>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October 15,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10.68</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Term Sheet, dated March 2, 2026, by and between Kairos Pharma, Ltd. and Celyn Therapeutics, Inc. (incorporated</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10.1 to the Current Report on Form 8-K filed March 2, 2026).</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10.69</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Statement of Work 86 to the Lonza Sales Agreement, dated March 27, 2026, between Kairos Pharma, Ltd. and</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Lonza Sales AG.*</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Code of Business Conduct and Ethics (incorporated by reference to Exhibit 14.1 to the Company’s Amendment No.</w:t>
            </w:r>
          </w:p>
        </w:tc>
      </w:tr>
      <w:tr>
        <w:trPr>
          <w:trHeight w:val="233"/>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1 to its Annual Report on Form 10-K/A filed April 29, 2025).</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Insider Trading Policy (incorporated by reference to Exhibit 19.1 to Amendment No. 1 to the Company’s Annual</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10-K/A filed on April 29, 2025).</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Consent of Weinberg and Company, P.A.</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Consent of Marcum LLP</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Chief Executive Officer Pursuant to 18 U.S.C. Section 1350, As Adopted Pursuant to Section 906</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w w:val="99"/>
              </w:rPr>
              <w:t>Certification of Chief Financial Officer Pursuant to 18 U.S.C. Section 1350, As Adopted Pursuant to Section 906 of</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the Sarbanes-Oxley Act of 2002</w:t>
            </w:r>
          </w:p>
        </w:tc>
      </w:tr>
      <w:tr>
        <w:trPr>
          <w:trHeight w:val="233"/>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Policy for Recovery of Erroneously Awarded Compensation, adopted March 1, 2024 (incorporated by reference to</w:t>
            </w:r>
          </w:p>
        </w:tc>
      </w:tr>
      <w:tr>
        <w:trPr>
          <w:trHeight w:val="232"/>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20"/>
                <w:szCs w:val="20"/>
                <w:color w:val="auto"/>
              </w:rPr>
              <w:t>Exhibit 97.1 to the Company’s Amendment No. 1 to its Annual Report on Form 10-K/A filed April 29, 2025)</w:t>
            </w:r>
          </w:p>
        </w:tc>
      </w:tr>
    </w:tbl>
    <w:p>
      <w:pPr>
        <w:spacing w:after="0" w:line="200" w:lineRule="exact"/>
        <w:rPr>
          <w:sz w:val="20"/>
          <w:szCs w:val="20"/>
          <w:color w:val="auto"/>
        </w:rPr>
      </w:pPr>
    </w:p>
    <w:p>
      <w:pPr>
        <w:sectPr>
          <w:pgSz w:w="12240" w:h="15840" w:orient="portrait"/>
          <w:cols w:equalWidth="0" w:num="1">
            <w:col w:w="10080"/>
          </w:cols>
          <w:pgMar w:left="1080" w:top="1078" w:right="1080" w:bottom="156"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080"/>
          </w:cols>
          <w:pgMar w:left="1080" w:top="1078" w:right="1080" w:bottom="156"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3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3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Inline XBRL Taxonomy Presentation Linkbase Document</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6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Cover Page Interactive Data File (embedded within the Inline XBRL document)</w:t>
            </w:r>
          </w:p>
        </w:tc>
      </w:tr>
    </w:tbl>
    <w:p>
      <w:pPr>
        <w:spacing w:after="0" w:line="243" w:lineRule="exact"/>
        <w:rPr>
          <w:sz w:val="20"/>
          <w:szCs w:val="20"/>
          <w:color w:val="auto"/>
        </w:rPr>
      </w:pPr>
    </w:p>
    <w:p>
      <w:pPr>
        <w:ind w:left="1080" w:hanging="1080"/>
        <w:spacing w:after="0" w:line="235" w:lineRule="auto"/>
        <w:tabs>
          <w:tab w:leader="none" w:pos="10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information contained in this exhibit has been redacted because (i) it is not material and (ii) it is the type of information that the company normally treats as private or confidential.</w:t>
      </w:r>
    </w:p>
    <w:p>
      <w:pPr>
        <w:spacing w:after="0" w:line="236" w:lineRule="exact"/>
        <w:rPr>
          <w:sz w:val="20"/>
          <w:szCs w:val="20"/>
          <w:color w:val="auto"/>
        </w:rPr>
      </w:pPr>
    </w:p>
    <w:p>
      <w:pPr>
        <w:ind w:left="160" w:hanging="160"/>
        <w:spacing w:after="0"/>
        <w:tabs>
          <w:tab w:leader="none" w:pos="1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1" w:lineRule="exact"/>
        <w:rPr>
          <w:rFonts w:ascii="Times New Roman" w:cs="Times New Roman" w:eastAsia="Times New Roman" w:hAnsi="Times New Roman"/>
          <w:sz w:val="20"/>
          <w:szCs w:val="20"/>
          <w:color w:val="auto"/>
        </w:rPr>
      </w:pPr>
    </w:p>
    <w:p>
      <w:pPr>
        <w:ind w:left="260" w:hanging="260"/>
        <w:spacing w:after="0"/>
        <w:tabs>
          <w:tab w:leader="none" w:pos="2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078"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080"/>
          </w:cols>
          <w:pgMar w:left="1080" w:top="1078" w:right="1080" w:bottom="156"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Company has duly caused this Annual Report to be signed on its behalf by the undersigned, thereunto duly authorized.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668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KAIROS PHARMA, LTD.</w:t>
            </w:r>
          </w:p>
        </w:tc>
      </w:tr>
      <w:tr>
        <w:trPr>
          <w:trHeight w:val="467"/>
        </w:trPr>
        <w:tc>
          <w:tcPr>
            <w:tcW w:w="3400" w:type="dxa"/>
            <w:vAlign w:val="bottom"/>
          </w:tcPr>
          <w:p>
            <w:pPr>
              <w:spacing w:after="0"/>
              <w:rPr>
                <w:sz w:val="24"/>
                <w:szCs w:val="24"/>
                <w:color w:val="auto"/>
              </w:rPr>
            </w:pPr>
          </w:p>
        </w:tc>
        <w:tc>
          <w:tcPr>
            <w:tcW w:w="668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John S. Yu</w:t>
            </w:r>
          </w:p>
        </w:tc>
      </w:tr>
      <w:tr>
        <w:trPr>
          <w:trHeight w:val="229"/>
        </w:trPr>
        <w:tc>
          <w:tcPr>
            <w:tcW w:w="3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rPr>
              <w:t>John S. Yu</w:t>
            </w:r>
          </w:p>
        </w:tc>
      </w:tr>
      <w:tr>
        <w:trPr>
          <w:trHeight w:val="233"/>
        </w:trPr>
        <w:tc>
          <w:tcPr>
            <w:tcW w:w="3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w:t>
            </w:r>
          </w:p>
        </w:tc>
      </w:tr>
      <w:tr>
        <w:trPr>
          <w:trHeight w:val="232"/>
        </w:trPr>
        <w:tc>
          <w:tcPr>
            <w:tcW w:w="3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31"/>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Date: March 31, 2026</w:t>
            </w:r>
          </w:p>
        </w:tc>
        <w:tc>
          <w:tcPr>
            <w:tcW w:w="19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r>
    </w:tbl>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has been signed below by the following persons on behalf of the registrant and in the capacities and on the dates indicated.</w:t>
      </w:r>
    </w:p>
    <w:p>
      <w:pPr>
        <w:sectPr>
          <w:pgSz w:w="12240" w:h="15840" w:orient="portrait"/>
          <w:cols w:equalWidth="0" w:num="1">
            <w:col w:w="10080"/>
          </w:cols>
          <w:pgMar w:left="1080" w:top="1078" w:right="1080" w:bottom="156"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191960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9605" cy="4763"/>
                        </a:xfrm>
                        <a:prstGeom prst="line">
                          <a:avLst/>
                        </a:prstGeom>
                        <a:solidFill>
                          <a:srgbClr val="FFFFFF"/>
                        </a:solidFill>
                        <a:ln w="12551">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pt" to="151.15pt,0.7pt" o:allowincell="f" strokecolor="#000000" strokeweight="0.9883pt"/>
            </w:pict>
          </mc:Fallback>
        </mc:AlternateConten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John S. Yu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191960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9605" cy="4763"/>
                        </a:xfrm>
                        <a:prstGeom prst="line">
                          <a:avLst/>
                        </a:prstGeom>
                        <a:solidFill>
                          <a:srgbClr val="FFFFFF"/>
                        </a:solidFill>
                        <a:ln w="1255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pt" to="151.15pt,0.6pt" o:allowincell="f" strokecolor="#000000" strokeweight="0.9882pt"/>
            </w:pict>
          </mc:Fallback>
        </mc:AlternateConten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S. Yu</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Doug Samuelson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191960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9605" cy="4763"/>
                        </a:xfrm>
                        <a:prstGeom prst="line">
                          <a:avLst/>
                        </a:prstGeom>
                        <a:solidFill>
                          <a:srgbClr val="FFFFFF"/>
                        </a:solidFill>
                        <a:ln w="1255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pt" to="151.15pt,0.7pt" o:allowincell="f" strokecolor="#000000" strokeweight="0.9882pt"/>
            </w:pict>
          </mc:Fallback>
        </mc:AlternateConten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 Samuelson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Hyun W. Bae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8255</wp:posOffset>
                </wp:positionV>
                <wp:extent cx="191960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9605" cy="4763"/>
                        </a:xfrm>
                        <a:prstGeom prst="line">
                          <a:avLst/>
                        </a:prstGeom>
                        <a:solidFill>
                          <a:srgbClr val="FFFFFF"/>
                        </a:solidFill>
                        <a:ln w="1255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5pt" to="151.15pt,0.65pt" o:allowincell="f" strokecolor="#000000" strokeweight="0.9882pt"/>
            </w:pict>
          </mc:Fallback>
        </mc:AlternateConten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Hyun W. Bae</w:t>
      </w:r>
    </w:p>
    <w:p>
      <w:pPr>
        <w:spacing w:after="0" w:line="24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/s/Hansoo Michael Keyoung </w:t>
      </w:r>
      <w:r>
        <w:rPr>
          <w:rFonts w:ascii="Times New Roman" w:cs="Times New Roman" w:eastAsia="Times New Roman" w:hAnsi="Times New Roman"/>
          <w:sz w:val="20"/>
          <w:szCs w:val="20"/>
          <w:color w:val="auto"/>
        </w:rPr>
        <w:t>Hansoo Michael Keyoung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191960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9605" cy="4763"/>
                        </a:xfrm>
                        <a:prstGeom prst="line">
                          <a:avLst/>
                        </a:prstGeom>
                        <a:solidFill>
                          <a:srgbClr val="FFFFFF"/>
                        </a:solidFill>
                        <a:ln w="1255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151.15pt,-12.5499pt" o:allowincell="f" strokecolor="#000000" strokeweight="0.9882pt"/>
            </w:pict>
          </mc:Fallback>
        </mc:AlternateConten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Rahul Singhvi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191960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9605" cy="4763"/>
                        </a:xfrm>
                        <a:prstGeom prst="line">
                          <a:avLst/>
                        </a:prstGeom>
                        <a:solidFill>
                          <a:srgbClr val="FFFFFF"/>
                        </a:solidFill>
                        <a:ln w="1255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pt" to="151.15pt,0.6pt" o:allowincell="f" strokecolor="#000000" strokeweight="0.9882pt"/>
            </w:pict>
          </mc:Fallback>
        </mc:AlternateConten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Rahul Singhvi</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46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1"/>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20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r>
      <w:tr>
        <w:trPr>
          <w:trHeight w:val="233"/>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63"/>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3"/>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0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r>
      <w:tr>
        <w:trPr>
          <w:trHeight w:val="463"/>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3"/>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r>
      <w:tr>
        <w:trPr>
          <w:trHeight w:val="463"/>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3"/>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r>
      <w:tr>
        <w:trPr>
          <w:trHeight w:val="463"/>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3"/>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2026</w:t>
            </w:r>
          </w:p>
        </w:tc>
      </w:tr>
    </w:tbl>
    <w:p>
      <w:pPr>
        <w:spacing w:after="0" w:line="200" w:lineRule="exact"/>
        <w:rPr>
          <w:sz w:val="20"/>
          <w:szCs w:val="20"/>
          <w:color w:val="auto"/>
        </w:rPr>
      </w:pPr>
    </w:p>
    <w:p>
      <w:pPr>
        <w:sectPr>
          <w:pgSz w:w="12240" w:h="15840" w:orient="portrait"/>
          <w:cols w:equalWidth="0" w:num="2">
            <w:col w:w="2500" w:space="720"/>
            <w:col w:w="6860"/>
          </w:cols>
          <w:pgMar w:left="1080" w:top="1078" w:right="1080" w:bottom="15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sectPr>
      <w:pgSz w:w="12240" w:h="15840" w:orient="portrait"/>
      <w:cols w:equalWidth="0" w:num="1">
        <w:col w:w="10080"/>
      </w:cols>
      <w:pgMar w:left="1080" w:top="1078" w:right="1080" w:bottom="1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MS Mincho">
    <w:panose1 w:val="020206090402050803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decimal"/>
      <w:start w:val="2"/>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amp;"/>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lowerRoman"/>
      <w:start w:val="3"/>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2026-05-22T15:23:12Z</dcterms:created>
  <dcterms:modified xsi:type="dcterms:W3CDTF">2026-05-22T15:23:12Z</dcterms:modified>
</cp:coreProperties>
</file>