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333-284569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February 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4954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 shares of Common Stock Issuable Upon Exercise of the Pre-Funded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3,750,000 shares of Common Stock Issuable Upon Exercise of the Common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175,000 shares of Common Stock Issuable Upon Exercise of the Placement Agent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2 updates, amends and supplements the prospectus dated February 4, 2025 (as supplemented or amended from time to time, the “Prospectus”), which forms a part of our Registration Statement on Form S-1, as amended (Registration No. 333-284569).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amend and supplement the information in the Prospectus with the information contained in our Annual Report on Form 10-K for the fiscal year ended December 31, 2025, originally filed with the Securities and Exchange Commission on March 31, 2026 (the “Annual Report”). Accordingly, we have attached the Annual Report to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relates to the offer for sale of an aggregate of 6,425,000 shares of common stock, par value $0.001 per share (“common stock”), of Kairos Pharma, Ltd. (the “Company”), consisting of (i) 2,500,000 shares of common stock underlying the pre-funded warrants, exercisable for $0.001 per share, and (ii) 3,750,000 shares of common stock underlying common stock purchase warrants, each exercisable for $1.40 per share, all of which were issued to the investor in a private placement offering which closed on January 16, 2025 (the “PIPE Offering”). In addition, we are registering 175,000 shares of common stock, exercisable at $1.40 per share, underlying common stock purchase warrants issued to Boustead Securities, LLC and D. Boral Capital LLC as compensation for their services as co-placement agents for the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This prospectus supplement is not complete without and may not be delivered or used except in conjunction with, the Prospectus, including any amendments or supplements to it. You should keep this prospectus supplement with your Prospectus for future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NYSE American under the symbol “KAPA.” On March 31, 2026, the last reported sale price of our common stock was $0.559 per share. We recommend that you obtain current market quotations for our common stock prior to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under federal securities laws and are subject to reduced public company reporting requirements. Investing in our securities involves a high degree of risk. See the section entitled “Risk Factors” beginning on page 11 of the Prospectus, and under similar headings in any amendments or supplements to the Prospectus, and beginning on page 25 of our Annual Report on Form 10-K contained herein.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April 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9740"/>
      </w:tblGrid>
      <w:tr>
        <w:trPr/>
        <w:tc>
          <w:tcPr>
            <w:tcW w:w="9740" w:type="dxa"/>
            <w:tcBorders/>
            <w:vAlign w:val="center"/>
          </w:tcPr>
          <w:p>
            <w:pPr>
              <w:pStyle w:val="TableContents"/>
              <w:bidi w:val="0"/>
              <w:spacing w:before="0" w:after="283"/>
              <w:jc w:val="left"/>
              <w:rPr/>
            </w:pPr>
            <w:hyperlink w:anchor="form10-K_001">
              <w:r>
                <w:rPr>
                  <w:rStyle w:val="InternetLink"/>
                </w:rPr>
                <w:t>ANNUAL REPORT ON FORM 10-K FOR THE FISCAL YEAR ENDED DECEMBER 31, 2025</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form10-K_001"/>
      <w:bookmarkEnd w:id="2"/>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bidi w:val="0"/>
        <w:spacing w:before="0" w:after="0"/>
        <w:ind w:left="0" w:right="0" w:hanging="0"/>
        <w:jc w:val="center"/>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283"/>
        <w:jc w:val="left"/>
        <w:rPr/>
      </w:pPr>
      <w:r>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 to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001-42275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KAIROS PHARMA,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360"/>
        <w:jc w:val="center"/>
        <w:rPr>
          <w:caps w:val="false"/>
          <w:smallCaps w:val="false"/>
        </w:rPr>
      </w:pPr>
      <w:r>
        <w:rPr>
          <w:caps w:val="false"/>
          <w:smallCaps w:val="false"/>
        </w:rPr>
        <w:t> </w:t>
      </w:r>
    </w:p>
    <w:tbl>
      <w:tblPr>
        <w:tblW w:w="4090" w:type="dxa"/>
        <w:jc w:val="left"/>
        <w:tblInd w:w="0" w:type="dxa"/>
        <w:shd w:fill="FFFFFF" w:val="clear"/>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46-2993314</w:t>
            </w:r>
          </w:p>
        </w:tc>
      </w:tr>
      <w:tr>
        <w:trPr/>
        <w:tc>
          <w:tcPr>
            <w:tcW w:w="24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2355 Westwood Blvd., #139</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90064</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948-2356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955" w:type="dxa"/>
        <w:jc w:val="left"/>
        <w:tblInd w:w="0" w:type="dxa"/>
        <w:shd w:fill="FFFFFF" w:val="clear"/>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KAPA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last day of the Registrant’s most recently completed second fiscal quarter, the aggregate market value of Registrant’s common shares held by non-affiliates was approximately $6.9 million based upon the closing sale price as reported on the NYSE American. This calculation of market value has been made for the purposes of this report only and should not be considered as an admission or conclusion by the Registrant that any person is in fact an affiliate of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Registrant had 21,411,198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
        <w:gridCol w:w="9179"/>
        <w:gridCol w:w="351"/>
      </w:tblGrid>
      <w:tr>
        <w:trPr/>
        <w:tc>
          <w:tcPr>
            <w:tcW w:w="9854" w:type="dxa"/>
            <w:gridSpan w:val="2"/>
            <w:tcBorders/>
            <w:shd w:fill="CCEEFF" w:val="clear"/>
            <w:vAlign w:val="center"/>
          </w:tcPr>
          <w:p>
            <w:pPr>
              <w:pStyle w:val="TableContents"/>
              <w:bidi w:val="0"/>
              <w:spacing w:before="0" w:after="283"/>
              <w:jc w:val="center"/>
              <w:rPr/>
            </w:pPr>
            <w:hyperlink w:anchor="sp_001">
              <w:r>
                <w:rPr>
                  <w:rStyle w:val="InternetLink"/>
                  <w:rFonts w:ascii="Times New Roman;Times;Serif" w:hAnsi="Times New Roman;Times;Serif"/>
                  <w:b w:val="false"/>
                  <w:i w:val="false"/>
                  <w:caps w:val="false"/>
                  <w:smallCaps w:val="false"/>
                  <w:sz w:val="20"/>
                </w:rPr>
                <w:t>PART 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79"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Business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79"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179" w:type="dxa"/>
            <w:tcBorders/>
            <w:shd w:fill="FFFFFF" w:val="clear"/>
            <w:vAlign w:val="center"/>
          </w:tcPr>
          <w:p>
            <w:pPr>
              <w:pStyle w:val="TableContents"/>
              <w:bidi w:val="0"/>
              <w:spacing w:before="0" w:after="283"/>
              <w:jc w:val="left"/>
              <w:rPr/>
            </w:pPr>
            <w:hyperlink w:anchor="an_001">
              <w:r>
                <w:rPr>
                  <w:rStyle w:val="InternetLink"/>
                  <w:rFonts w:ascii="Times New Roman;Times;Serif" w:hAnsi="Times New Roman;Times;Serif"/>
                  <w:b w:val="false"/>
                  <w:i w:val="false"/>
                  <w:caps w:val="false"/>
                  <w:smallCaps w:val="false"/>
                  <w:sz w:val="20"/>
                </w:rPr>
                <w:t>Unresolved Staff Comments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9179" w:type="dxa"/>
            <w:tcBorders/>
            <w:shd w:fill="CCEEFF" w:val="clear"/>
            <w:vAlign w:val="center"/>
          </w:tcPr>
          <w:p>
            <w:pPr>
              <w:pStyle w:val="TableContents"/>
              <w:bidi w:val="0"/>
              <w:spacing w:before="0" w:after="283"/>
              <w:jc w:val="left"/>
              <w:rPr/>
            </w:pPr>
            <w:hyperlink w:anchor="an_002">
              <w:r>
                <w:rPr>
                  <w:rStyle w:val="InternetLink"/>
                  <w:rFonts w:ascii="Times New Roman;Times;Serif" w:hAnsi="Times New Roman;Times;Serif"/>
                  <w:b w:val="false"/>
                  <w:i w:val="false"/>
                  <w:caps w:val="false"/>
                  <w:smallCaps w:val="false"/>
                  <w:sz w:val="20"/>
                </w:rPr>
                <w:t>Cybersecurity</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79" w:type="dxa"/>
            <w:tcBorders/>
            <w:shd w:fill="FFFFFF" w:val="clear"/>
            <w:vAlign w:val="center"/>
          </w:tcPr>
          <w:p>
            <w:pPr>
              <w:pStyle w:val="TableContents"/>
              <w:bidi w:val="0"/>
              <w:spacing w:before="0" w:after="283"/>
              <w:jc w:val="left"/>
              <w:rPr/>
            </w:pPr>
            <w:hyperlink w:anchor="an_003">
              <w:r>
                <w:rPr>
                  <w:rStyle w:val="InternetLink"/>
                  <w:rFonts w:ascii="Times New Roman;Times;Serif" w:hAnsi="Times New Roman;Times;Serif"/>
                  <w:b w:val="false"/>
                  <w:i w:val="false"/>
                  <w:caps w:val="false"/>
                  <w:smallCaps w:val="false"/>
                  <w:sz w:val="20"/>
                </w:rPr>
                <w:t>Properties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79" w:type="dxa"/>
            <w:tcBorders/>
            <w:shd w:fill="CCEEFF" w:val="clear"/>
            <w:vAlign w:val="center"/>
          </w:tcPr>
          <w:p>
            <w:pPr>
              <w:pStyle w:val="TableContents"/>
              <w:bidi w:val="0"/>
              <w:spacing w:before="0" w:after="283"/>
              <w:jc w:val="left"/>
              <w:rPr/>
            </w:pPr>
            <w:hyperlink w:anchor="an_004">
              <w:r>
                <w:rPr>
                  <w:rStyle w:val="InternetLink"/>
                  <w:rFonts w:ascii="Times New Roman;Times;Serif" w:hAnsi="Times New Roman;Times;Serif"/>
                  <w:b w:val="false"/>
                  <w:i w:val="false"/>
                  <w:caps w:val="false"/>
                  <w:smallCaps w:val="false"/>
                  <w:sz w:val="20"/>
                </w:rPr>
                <w:t>Legal Proceedings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79" w:type="dxa"/>
            <w:tcBorders/>
            <w:shd w:fill="FFFFFF" w:val="clear"/>
            <w:vAlign w:val="center"/>
          </w:tcPr>
          <w:p>
            <w:pPr>
              <w:pStyle w:val="TableContents"/>
              <w:bidi w:val="0"/>
              <w:spacing w:before="0" w:after="283"/>
              <w:jc w:val="left"/>
              <w:rPr/>
            </w:pPr>
            <w:hyperlink w:anchor="an_005">
              <w:r>
                <w:rPr>
                  <w:rStyle w:val="InternetLink"/>
                  <w:rFonts w:ascii="Times New Roman;Times;Serif" w:hAnsi="Times New Roman;Times;Serif"/>
                  <w:b w:val="false"/>
                  <w:i w:val="false"/>
                  <w:caps w:val="false"/>
                  <w:smallCaps w:val="false"/>
                  <w:sz w:val="20"/>
                </w:rPr>
                <w:t>Mine Safety Disclosures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854" w:type="dxa"/>
            <w:gridSpan w:val="2"/>
            <w:tcBorders/>
            <w:shd w:fill="CCEEFF" w:val="clear"/>
            <w:vAlign w:val="center"/>
          </w:tcPr>
          <w:p>
            <w:pPr>
              <w:pStyle w:val="TableContents"/>
              <w:bidi w:val="0"/>
              <w:spacing w:before="0" w:after="283"/>
              <w:jc w:val="center"/>
              <w:rPr/>
            </w:pPr>
            <w:hyperlink w:anchor="an_006">
              <w:r>
                <w:rPr>
                  <w:rStyle w:val="InternetLink"/>
                  <w:rFonts w:ascii="Times New Roman;Times;Serif" w:hAnsi="Times New Roman;Times;Serif"/>
                  <w:b w:val="false"/>
                  <w:i w:val="false"/>
                  <w:caps w:val="false"/>
                  <w:smallCaps w:val="false"/>
                  <w:sz w:val="20"/>
                </w:rPr>
                <w:t>PART II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79" w:type="dxa"/>
            <w:tcBorders/>
            <w:shd w:fill="FFFFFF" w:val="clear"/>
            <w:vAlign w:val="center"/>
          </w:tcPr>
          <w:p>
            <w:pPr>
              <w:pStyle w:val="TableContents"/>
              <w:bidi w:val="0"/>
              <w:spacing w:before="0" w:after="283"/>
              <w:jc w:val="left"/>
              <w:rPr/>
            </w:pPr>
            <w:hyperlink w:anchor="an_007">
              <w:r>
                <w:rPr>
                  <w:rStyle w:val="InternetLink"/>
                  <w:rFonts w:ascii="Times New Roman;Times;Serif" w:hAnsi="Times New Roman;Times;Serif"/>
                  <w:b w:val="false"/>
                  <w:i w:val="false"/>
                  <w:caps w:val="false"/>
                  <w:smallCaps w:val="false"/>
                  <w:sz w:val="20"/>
                </w:rPr>
                <w:t>Market for the Registrant’s Common Equity, Related Shareholder Maters, and Issuer Purchases of Equity Securities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79" w:type="dxa"/>
            <w:tcBorders/>
            <w:shd w:fill="CCEEFF" w:val="clear"/>
            <w:vAlign w:val="center"/>
          </w:tcPr>
          <w:p>
            <w:pPr>
              <w:pStyle w:val="TableContents"/>
              <w:bidi w:val="0"/>
              <w:spacing w:before="0" w:after="283"/>
              <w:jc w:val="left"/>
              <w:rPr/>
            </w:pPr>
            <w:hyperlink w:anchor="an_008">
              <w:r>
                <w:rPr>
                  <w:rStyle w:val="InternetLink"/>
                  <w:rFonts w:ascii="Times New Roman;Times;Serif" w:hAnsi="Times New Roman;Times;Serif"/>
                  <w:b w:val="false"/>
                  <w:i w:val="false"/>
                  <w:caps w:val="false"/>
                  <w:smallCaps w:val="false"/>
                  <w:sz w:val="20"/>
                </w:rPr>
                <w:t>Reserved</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179" w:type="dxa"/>
            <w:tcBorders/>
            <w:shd w:fill="FFFFFF" w:val="clear"/>
            <w:vAlign w:val="center"/>
          </w:tcPr>
          <w:p>
            <w:pPr>
              <w:pStyle w:val="TableContents"/>
              <w:bidi w:val="0"/>
              <w:spacing w:before="0" w:after="283"/>
              <w:jc w:val="left"/>
              <w:rPr/>
            </w:pPr>
            <w:hyperlink w:anchor="md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179" w:type="dxa"/>
            <w:tcBorders/>
            <w:shd w:fill="CCEEFF" w:val="clear"/>
            <w:vAlign w:val="center"/>
          </w:tcPr>
          <w:p>
            <w:pPr>
              <w:pStyle w:val="TableContents"/>
              <w:bidi w:val="0"/>
              <w:spacing w:before="0" w:after="283"/>
              <w:jc w:val="left"/>
              <w:rPr/>
            </w:pPr>
            <w:hyperlink w:anchor="md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179" w:type="dxa"/>
            <w:tcBorders/>
            <w:shd w:fill="FFFFFF" w:val="clear"/>
            <w:vAlign w:val="center"/>
          </w:tcPr>
          <w:p>
            <w:pPr>
              <w:pStyle w:val="TableContents"/>
              <w:bidi w:val="0"/>
              <w:spacing w:before="0" w:after="283"/>
              <w:jc w:val="left"/>
              <w:rPr/>
            </w:pPr>
            <w:hyperlink w:anchor="an_011">
              <w:r>
                <w:rPr>
                  <w:rStyle w:val="InternetLink"/>
                  <w:rFonts w:ascii="Times New Roman;Times;Serif" w:hAnsi="Times New Roman;Times;Serif"/>
                  <w:b w:val="false"/>
                  <w:i w:val="false"/>
                  <w:caps w:val="false"/>
                  <w:smallCaps w:val="false"/>
                  <w:sz w:val="20"/>
                </w:rPr>
                <w:t>Financial Statements and Supplementary Data</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179" w:type="dxa"/>
            <w:tcBorders/>
            <w:shd w:fill="CCEEFF" w:val="clear"/>
            <w:vAlign w:val="center"/>
          </w:tcPr>
          <w:p>
            <w:pPr>
              <w:pStyle w:val="TableContents"/>
              <w:bidi w:val="0"/>
              <w:spacing w:before="0" w:after="283"/>
              <w:jc w:val="left"/>
              <w:rPr/>
            </w:pPr>
            <w:hyperlink w:anchor="an_012">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179" w:type="dxa"/>
            <w:tcBorders/>
            <w:shd w:fill="FFFFFF" w:val="clear"/>
            <w:vAlign w:val="center"/>
          </w:tcPr>
          <w:p>
            <w:pPr>
              <w:pStyle w:val="TableContents"/>
              <w:bidi w:val="0"/>
              <w:spacing w:before="0" w:after="283"/>
              <w:jc w:val="left"/>
              <w:rPr/>
            </w:pPr>
            <w:hyperlink w:anchor="an_013">
              <w:r>
                <w:rPr>
                  <w:rStyle w:val="InternetLink"/>
                  <w:rFonts w:ascii="Times New Roman;Times;Serif" w:hAnsi="Times New Roman;Times;Serif"/>
                  <w:b w:val="false"/>
                  <w:i w:val="false"/>
                  <w:caps w:val="false"/>
                  <w:smallCaps w:val="false"/>
                  <w:sz w:val="20"/>
                </w:rPr>
                <w:t>Controls and Procedures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179" w:type="dxa"/>
            <w:tcBorders/>
            <w:shd w:fill="CCEEFF" w:val="clear"/>
            <w:vAlign w:val="center"/>
          </w:tcPr>
          <w:p>
            <w:pPr>
              <w:pStyle w:val="TableContents"/>
              <w:bidi w:val="0"/>
              <w:spacing w:before="0" w:after="283"/>
              <w:jc w:val="left"/>
              <w:rPr/>
            </w:pPr>
            <w:hyperlink w:anchor="an_014">
              <w:r>
                <w:rPr>
                  <w:rStyle w:val="InternetLink"/>
                  <w:rFonts w:ascii="Times New Roman;Times;Serif" w:hAnsi="Times New Roman;Times;Serif"/>
                  <w:b w:val="false"/>
                  <w:i w:val="false"/>
                  <w:caps w:val="false"/>
                  <w:smallCaps w:val="false"/>
                  <w:sz w:val="20"/>
                </w:rPr>
                <w:t>Other Information</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9179" w:type="dxa"/>
            <w:tcBorders/>
            <w:shd w:fill="FFFFFF" w:val="clear"/>
            <w:vAlign w:val="center"/>
          </w:tcPr>
          <w:p>
            <w:pPr>
              <w:pStyle w:val="TableContents"/>
              <w:bidi w:val="0"/>
              <w:spacing w:before="0" w:after="283"/>
              <w:jc w:val="left"/>
              <w:rPr/>
            </w:pPr>
            <w:hyperlink w:anchor="an_015">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54" w:type="dxa"/>
            <w:gridSpan w:val="2"/>
            <w:tcBorders/>
            <w:shd w:fill="CCEEFF" w:val="clear"/>
            <w:vAlign w:val="center"/>
          </w:tcPr>
          <w:p>
            <w:pPr>
              <w:pStyle w:val="TableContents"/>
              <w:bidi w:val="0"/>
              <w:spacing w:before="0" w:after="283"/>
              <w:jc w:val="center"/>
              <w:rPr/>
            </w:pPr>
            <w:hyperlink w:anchor="an_016">
              <w:r>
                <w:rPr>
                  <w:rStyle w:val="InternetLink"/>
                  <w:rFonts w:ascii="Times New Roman;Times;Serif" w:hAnsi="Times New Roman;Times;Serif"/>
                  <w:b w:val="false"/>
                  <w:i w:val="false"/>
                  <w:caps w:val="false"/>
                  <w:smallCaps w:val="false"/>
                  <w:sz w:val="20"/>
                </w:rPr>
                <w:t>PART III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179" w:type="dxa"/>
            <w:tcBorders/>
            <w:shd w:fill="FFFFFF" w:val="clear"/>
            <w:vAlign w:val="center"/>
          </w:tcPr>
          <w:p>
            <w:pPr>
              <w:pStyle w:val="TableContents"/>
              <w:bidi w:val="0"/>
              <w:spacing w:before="0" w:after="283"/>
              <w:jc w:val="left"/>
              <w:rPr/>
            </w:pPr>
            <w:hyperlink w:anchor="an_017">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179" w:type="dxa"/>
            <w:tcBorders/>
            <w:shd w:fill="CCEEFF" w:val="clear"/>
            <w:vAlign w:val="center"/>
          </w:tcPr>
          <w:p>
            <w:pPr>
              <w:pStyle w:val="TableContents"/>
              <w:bidi w:val="0"/>
              <w:spacing w:before="0" w:after="283"/>
              <w:jc w:val="left"/>
              <w:rPr/>
            </w:pPr>
            <w:hyperlink w:anchor="an_018">
              <w:r>
                <w:rPr>
                  <w:rStyle w:val="InternetLink"/>
                  <w:rFonts w:ascii="Times New Roman;Times;Serif" w:hAnsi="Times New Roman;Times;Serif"/>
                  <w:b w:val="false"/>
                  <w:i w:val="false"/>
                  <w:caps w:val="false"/>
                  <w:smallCaps w:val="false"/>
                  <w:sz w:val="20"/>
                </w:rPr>
                <w:t>Executive Compensation</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179" w:type="dxa"/>
            <w:tcBorders/>
            <w:shd w:fill="FFFFFF" w:val="clear"/>
            <w:vAlign w:val="center"/>
          </w:tcPr>
          <w:p>
            <w:pPr>
              <w:pStyle w:val="TableContents"/>
              <w:bidi w:val="0"/>
              <w:spacing w:before="0" w:after="283"/>
              <w:jc w:val="left"/>
              <w:rPr/>
            </w:pPr>
            <w:hyperlink w:anchor="an_019">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179" w:type="dxa"/>
            <w:tcBorders/>
            <w:shd w:fill="CCEEFF" w:val="clear"/>
            <w:vAlign w:val="center"/>
          </w:tcPr>
          <w:p>
            <w:pPr>
              <w:pStyle w:val="TableContents"/>
              <w:bidi w:val="0"/>
              <w:spacing w:before="0" w:after="283"/>
              <w:jc w:val="left"/>
              <w:rPr/>
            </w:pPr>
            <w:hyperlink w:anchor="an_02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179" w:type="dxa"/>
            <w:tcBorders/>
            <w:shd w:fill="FFFFFF" w:val="clear"/>
            <w:vAlign w:val="center"/>
          </w:tcPr>
          <w:p>
            <w:pPr>
              <w:pStyle w:val="TableContents"/>
              <w:bidi w:val="0"/>
              <w:spacing w:before="0" w:after="283"/>
              <w:jc w:val="left"/>
              <w:rPr/>
            </w:pPr>
            <w:hyperlink w:anchor="an_021">
              <w:r>
                <w:rPr>
                  <w:rStyle w:val="InternetLink"/>
                  <w:rFonts w:ascii="Times New Roman;Times;Serif" w:hAnsi="Times New Roman;Times;Serif"/>
                  <w:b w:val="false"/>
                  <w:i w:val="false"/>
                  <w:caps w:val="false"/>
                  <w:smallCaps w:val="false"/>
                  <w:sz w:val="20"/>
                </w:rPr>
                <w:t>Principal Accountant Fees and Services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854" w:type="dxa"/>
            <w:gridSpan w:val="2"/>
            <w:tcBorders/>
            <w:shd w:fill="CCEEFF" w:val="clear"/>
            <w:vAlign w:val="center"/>
          </w:tcPr>
          <w:p>
            <w:pPr>
              <w:pStyle w:val="TableContents"/>
              <w:bidi w:val="0"/>
              <w:spacing w:before="0" w:after="283"/>
              <w:jc w:val="center"/>
              <w:rPr/>
            </w:pPr>
            <w:hyperlink w:anchor="an_022">
              <w:r>
                <w:rPr>
                  <w:rStyle w:val="InternetLink"/>
                  <w:rFonts w:ascii="Times New Roman;Times;Serif" w:hAnsi="Times New Roman;Times;Serif"/>
                  <w:b w:val="false"/>
                  <w:i w:val="false"/>
                  <w:caps w:val="false"/>
                  <w:smallCaps w:val="false"/>
                  <w:sz w:val="20"/>
                </w:rPr>
                <w:t>PART IV</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179" w:type="dxa"/>
            <w:tcBorders/>
            <w:shd w:fill="FFFFFF" w:val="clear"/>
            <w:vAlign w:val="center"/>
          </w:tcPr>
          <w:p>
            <w:pPr>
              <w:pStyle w:val="TableContents"/>
              <w:bidi w:val="0"/>
              <w:spacing w:before="0" w:after="283"/>
              <w:jc w:val="left"/>
              <w:rPr/>
            </w:pPr>
            <w:hyperlink w:anchor="an_023">
              <w:r>
                <w:rPr>
                  <w:rStyle w:val="InternetLink"/>
                  <w:rFonts w:ascii="Times New Roman;Times;Serif" w:hAnsi="Times New Roman;Times;Serif"/>
                  <w:b w:val="false"/>
                  <w:i w:val="false"/>
                  <w:caps w:val="false"/>
                  <w:smallCaps w:val="false"/>
                  <w:sz w:val="20"/>
                </w:rPr>
                <w:t>Exhibits and Financial Statement Schedules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9179" w:type="dxa"/>
            <w:tcBorders/>
            <w:shd w:fill="CCEEFF" w:val="clear"/>
            <w:vAlign w:val="center"/>
          </w:tcPr>
          <w:p>
            <w:pPr>
              <w:pStyle w:val="TableContents"/>
              <w:bidi w:val="0"/>
              <w:spacing w:before="0" w:after="283"/>
              <w:jc w:val="left"/>
              <w:rPr/>
            </w:pPr>
            <w:hyperlink w:anchor="an_024">
              <w:r>
                <w:rPr>
                  <w:rStyle w:val="InternetLink"/>
                  <w:rFonts w:ascii="Times New Roman;Times;Serif" w:hAnsi="Times New Roman;Times;Serif"/>
                  <w:b w:val="false"/>
                  <w:i w:val="false"/>
                  <w:caps w:val="false"/>
                  <w:smallCaps w:val="false"/>
                  <w:sz w:val="20"/>
                </w:rPr>
                <w:t>Form 10-K Summary</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54" w:type="dxa"/>
            <w:gridSpan w:val="2"/>
            <w:tcBorders/>
            <w:shd w:fill="CCEEFF" w:val="clear"/>
            <w:vAlign w:val="center"/>
          </w:tcPr>
          <w:p>
            <w:pPr>
              <w:pStyle w:val="TableContents"/>
              <w:bidi w:val="0"/>
              <w:spacing w:before="0" w:after="283"/>
              <w:jc w:val="left"/>
              <w:rPr/>
            </w:pPr>
            <w:hyperlink w:anchor="an_025">
              <w:r>
                <w:rPr>
                  <w:rStyle w:val="InternetLink"/>
                  <w:rFonts w:ascii="Times New Roman;Times;Serif" w:hAnsi="Times New Roman;Times;Serif"/>
                  <w:b w:val="false"/>
                  <w:i w:val="false"/>
                  <w:caps w:val="false"/>
                  <w:smallCaps w:val="false"/>
                  <w:sz w:val="20"/>
                </w:rPr>
                <w:t>Signatures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sp_001"/>
      <w:bookmarkEnd w:id="3"/>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(the “Annual Report”)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Statements about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such as “could,” “may,” “will,” “should,” “likely,” “anticipates,” “expects,” “intends,” “plans,” “projects,” “believes,” “estimates,” and variations on such words, including similar expressions, are used to identify these forward-looking statements. Forward-looking statements contained in this Annual Report include, but are not limited to, statements about: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timing, progress and results of our preclinical and nonclinical studies and clinical trials, and our research and development programs, including the manufacture of clinical trial material and drug product for launch;</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our ongoing and planned for clinical trials and obtain regulatory approval in the United States for our target drugs;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continued service of our key professionals and to identify, hire and retain additional qualified professionals as needed;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product candidates into, and successfully complete,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commercialize our product candidates, if approved;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current in-development products, if approved, to successfully compete with other therapies, including therapies currently in development;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coverage and reimbursement of our product candidates, if approved;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and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additional product candidates and advance them into clinical development;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capital requirements and needs for additional financing;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all of which are difficult or impossible to predict accurately and many of which are beyond our control, include, but are not limited to those made below under “Summary of Risk Factors” and in Item 1A. Risk Factors in this Annual Report. You should carefully consider these risks, as well as the additional risks described in other documents we file with the Securities and Exchange Commission (“SEC”). We also operate in a very competitive and rapidly changing environment. New risks emerge from time to time and it is not possible for our management to predict all risks, nor can we assess the impact of all such risk factors on our business or the extent to which any factor, or combination of factors, may cause actual results to differ materially from those contained in, or implied by, any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Forward-looking statements in this Annual Report are based on management’s current views and assumptions regarding future events and speak only as of the date when made. Kairos undertakes no obligation to publicly update or revise any forward-looking statements, whether as a result of new information, future events, or otherwise, except as required by federal securities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necessary or appropriate in the context, references in this Annual Report to “Kairos,” the “Company,” “we,” “us,” and “our” refer to Kairos Pharma, Ltd., a Delaware corporation, and our wholly owned subsidiary, Enviro Therapeutics, Inc., a California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sp_002"/>
      <w:bookmarkEnd w:id="4"/>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advancing therapeutics for cancer patients that are designed to overcome key hurdles in immune suppression and drug resistance. These therapeutics include antibodies and small molecules for the treatment of prostate cancer, lung cancer, breast cancer, and glioblastoma. We are driven by innovative science to develop novel and transformative drug therapies to treat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advance our portfolio of innovative therapeutics to target key mechanisms of therapeutic resistance and immune suppression and transform the way cancer is treated. We have leveraged molecular insights of the mechanisms of therapeutic resistance and immune suppression to develop a new class of novel drugs that we expect will target drug resistance and checkpoints of immune suppression. Our seven-drug portfolio offers diversification and mitigates the overall exposure to many of the inherent risks of drug development. Our proprietary technologies are licensed from Cedars-Sinai Medical Center, the largest academic medical center in the Western U.S. and ranked number one in California and number two in the nation in U.S. News &amp; World Report’s Best Hospitals Honor Roll for 2022-2023. As of the date of this Annual Report, our product candidates have not been approved as safe or effective by the FDA or any other comparable foreign regulator.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portfolio currently consists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pre-clinical or clinical-trial stage drug candidates developed by us and designed to target immune response.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therapeutic agents developed by our Enviro Therapeutics, Inc. subsidiary and designed to increase anti-tumor response in conjunction with cancer therapies by addressing resistance to these agents.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technologies licensed by our Enviro Therapeutics, Inc. subsidiary and consisting of compositions and methods for treating diseases and conditions by targeting CD105 and depleting mitochondrial DNA from the circulation.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immune system can tell the difference between normal cells in the body and those it sees as “foreign,” which allows it to focus an attack on the foreign cells while leaving the normal cells alone. To do this, our immune system uses “checkpoints” - molecules on certain immune cells that need to be activated (or inactivated) to start an immune response. Cancer cells can find ways to use these checkpoints to avoid being attacked by the immune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small molecules that we believe can specifically target these central checkpoints. In addition, we are developing an activated T cell therapy designed to target cancer stem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of 2021, we announced the acquisition of Enviro Therapeutics, Inc. to incorporate their advanced pipeline of drug candidates in Phase 1 and Phase 2 trials. The pipeline includes two therapeutic agents addressing what we believe to be significant unmet needs in prostate and lung cancer markets and that we believe can help address cancer progression, in particular, in those cancers that develop resistance to standard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have a pipeline of seven drugs. We have filed an Investigational New Drug, or IND, application with the FDA that has become effective for ENV 105. As a result, we began a Phase 1 trial for non-small cell lung cancer in September 2023 and in September 2023 opened a randomized Phase 2 trial for prostate cancer. We believe that the mechanism of action for ENV 105 may addresses the resistance mechanism of tumor dormancy. This was only possible because ENV 105 targets both the cancer cells as well as its supportive non-cancer environment. The advantage of targeting the unique environment supporting the tumor cells is that their capacity to adapt and evade therapy is significantly lower than that of the cancer itself. As such, ENV 105 is designed to address resistance to chemotherapy, radiation therapy, androgen targeted therapy, EGFR inhibitors, or checkpoint inhibition when given in combination. Interestingly, since the target of ENV 105, endoglin, is upregulated by the tumor and supporting cells in response to androgen targeted therapy and EGFR inhibitors as a proven mechanism of resistance, we believe the co-administration of ENV 105 specifically targets this mechanism of resistance.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Enviro Therapeutics, Inc. acquisition, we also obtained ENV 205, a pre-clinical therapeutic for treating diseases and conditions by depletion of mitochondrial DNA from circulation and for detection of mitochondrial DNA. We intend to use this antibody technology to treat chemotherapy resistance and for cachexia, a common problem in the cancer patient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sought to develop a broad portfolio of novel and transformative drug therapies to treat cancer. Our current portfolio consists of seven drug therapies consisting of peptide and small molecule cancer immunotherapeutics KROS 101, 102, 201, 301 and 401 and therapeutic agents ENV 105 and 205. We started three clinical trials in the fall of 2023 for KROS 201 and ENV 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 small molecule that targets the GITR ligand, a signal for T cell growth to remove a checkpoint barrier to fight a host of cancers. Our second drug, KROS 201, is a T cell therapy activated by dendritic cells to treat glioblastoma, a deadly and common brain cancer. Our ENV 105 drug seeks to address unmet medical needs in large markets of prostate and lung cancers. For example, the global prostate cancer therapeutics market size was valued at USD 7.9 billion and at USD 1.7 billion for EGFR mutant non-small cell lung cancer. Our ENV 105 biologic drug targets endoglin and addresses resistance to androgen targeted drugs and EGFR inhibitors. A Phase 2 trial involving a heavily pre-treated population suffering from prostate cancer was initiated at Cedars-Sinai Medical Center. The primary objective of the study was to measure the proportion of patients at two months who had either disease stabilization or regression (i.e. complete or partial response), referred to as the clinical benefit rate. A clinical benefit rate of 62% was observed. This Phase 2 trial involved the use of enzalutamide (Xtandi®, Pfizer) and abiraterone (ZYTIGA®, Janssen), two forms of hormone therapy that blocks the androgen receptor and its target ligand, testosterone, respectively. These two agents are considered standard of care for nearly all recurrent prostate cancer patients.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accrued patients that were resistant to the very androgen targeted therapy (enzalutamide or abiraterone) that was given in the trial in addition to ENV105. Importantly, ENV105 administration alone has no clinical benefit, based on pre-clinical findings (conducted by us) and previous clinical findings (through trials performed by the National Cancer Institute). However, two agents that apparently have no clinical effect, when combined result in halting tumor progression. The finding is well justified by numerous publications demonstrating hormone therapy resistance develops through the induction of CD105, the target of ENV 105 [Placencio-Hickok et al. (2020) Endocrine Related Cancer 27:1; Kato et al. (2020) Oncogene 38: 716; Smith et. al. (2023) Molecular Therapy 31: 78; Thiruvalluvanet. al. (2023) Cancers 14: 2491]. All the patients in the trial were not only resistant to the two hormone therapy agents, but the patients had all had at least one other intervention after surgical or radiation progression. For some they had failed to respond to five other drugs. The responders to the combination therapy were patients that had exceedingly few other options for survival. The study enrolled 11 patients prior to closure, each of whom were enrolled in one of two arms (or specific treatments) in the clinical trial. Three patients were enrolled in the abiraterone acetate arm and eight in the enzalutamide arm. Of these patients only two and six patients on each arm were considered assessable, respectively (i.e. completed at least two months of therapy with imaging). Of the 11 patients enrolled in the trials, nine were evaluable. This investigator-initiated trial closed to accrual prior to its planned enrollment of 40 patients due to limitation of the drug supply from the manufacturer. The drug supply has since been expanded and obtained by Kairos Pharma. The primary objective of the study was to measure the proportion of patients at two months who had either disease stabilization or regression (i.e., complete or partial response), referred to as the clinical benefit rate. Disease status assessments were made by RECIST 1.1 or PCWG3 criteria. One of the two patients on the abiraterone arm experienced a &lt;50% decline in his serum PSA concentration with disease stabilization by scans. Four of the six patients on the enzalutamide arm experienced clinical benefit by three showing stabilization of disease, and one showing decline in his serum PSA concentration and scan improvement. Grade 3 side effects consisting of hyponatremia, urinary retention, and cellulitis were noted on the abiraterone arm. None of these grade 3 events were attributed to the use of ENV105. No grade 3 events were noted on the enzalutamide arm. The most frequent grade 1-2 events occurring in at least two patients included anemia, nausea, and gingival bleeding.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three-gene panel was identified to serve as a companion biomarker for patient selection. There are no approved companion diagnostic tests for ENV105. However, candidate biomarkers revealed in the previous Phase 2 trial will be verified in the new Phase 2 trial to better predict patients that would best respond to the ENV105. Our Enviro Therapeutics, Inc. subsidiary will strive to co-develop companion biomarkers with all drugs in its portfolio, enabling identification of potential drug responders prior to therapy. As of the date of this Annual Report, our companion diagnostics are in development and have not been approved by the FDA. There is no guarantee that these companion diagnostics will be approved by the FDA or comparable foreign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NIH announced that it was awarding Neil Bhowmick, PhD, our Chief Scientific Officer and also a Cedars-Sinai Professor of Medicine, a grant of $3.2 million to support the development of the mechanism of action and companion biomarkers in research that is being performed by Cedars-Sinai in conjunction with our ongoing Phase 2 trial for ENV105 (carotuximab) and apalutamide treating castrate resistant prostate cancer patients. This funding will be used by Cedars-Sinai, through Dr. Bhowmick’s study, to test for the biomarkers and genetic studies corollary studies to support our ongoing Phase 2 trial for ENV105, and also to help identify biomarker positive patients who will potentially respond to ENV105 in a future Phase 3 trial. This supporting work is being carried out by Cedars-Sinai, through Dr. Bhowmick’s laboratory. These corollary studies will not offset the costs of the clinical trial that Kairos anticipates expending. The NIH funding will be dispersed to Cedars-Sinai and Dr. Bhowmick in stages during the Phase 2 trial for ENV105. The NIH grant does not otherwise change the cost or management of the ongoing Phase 2 clinical trial.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 small molecule that induces trimerization of the GITR ligand and is the culmination of the pioneering work of Dr. Ramachandran Murali, our Vice President of Research and Development, in 3D crystallography. KROS 201 consists of potent T cells that are stimulated by dendritic cells in the test tube to target cancer stem cells. Our initial focus of KROS 201 is to treat glioblastoma. Dr. Yu runs a lab that is known for its pioneering work in dendritic cell immunotherapy.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105 demonstrated an ability to target CD105 which is elevated in drug resistance in prostate cancer. Androgen therapy resistance in prostate cancer is being targeted in the Phase 2 trial. EGFR antagonist resistance in lung cancer is being targeted in a Phase 1 trial. The ENV 105 Phase 2 trial in prostate cancer with apalutamide (Janssen) is a multicenter trial being conducted at Cedars-Sinai, University of Utah, and City of Hope. The Phase 1 trial in lung cancer with Tagrisso (AstraZeneca) is being conducted at Cedars-Sinai.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developing KROS 102, KROS 301, and KROS 401. KROS 102 is a GITR ligand antagonist designed to increase inhibitory Treg functions while hampering T effector cell numbers and function. KROS 301 is a tumor targeting small molecule and checkpoint inhibitor with two distinct mechanisms of action resulting from blocking intranuclear localization of RelA, a key component of the NF-KB pathway. KROS 401 is a tumor microenvironment immune modulator and cyclic peptide inhibitor of IL-4 and IL-13 reversing tumor associated macrophage inhibition. Both therapies reverse the mechanism of immune suppression at the tumor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are developing ENV 205, what we believe to be a first-of-its-kind biologic that targets prostate cancers that have become otherwise resistant to chemotherapy. As of the date of this Annual Report, ENV 205 has not been approved by the FDA or any other comparable foreign regulator. ENV 205 targets the excretion of mitochondrial DNA found elevated in circulation when patients are on chemotherapy. Higher blood levels of mitochondrial DNA are not only associated with chemotherapy resistance, but more widely recognized as a mediator of cardiac toxicity and other systemic inflammatory events contributing to the negative side effects of chemotherapy use. Thus, depleting mitochondrial DNA with the administration of ENV 205 restores chemotherapy sensitivity with reduced toxic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these critical targets strike cancer at what we believe to be its most vulnerable point. The group of founding scientists generating our initial drugs have combined their pioneering contributions in structural, biology, immunology, and cancer therapy to bring to unmet medical needs what we believe are life changing therapeutics. As of the date of this Annual Report, aside from the clinical trials, which are conducted off-site at third party facilities, our operations are all conducted virtually as we aim to be efficient in our deployment of capital and leverage our history with premier academic medical centers to efficiently enroll and execute clinical trials.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Development Pipeline and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development programs for KROS 101, 102, 201, 301, and 401 as well as therapeutic agents ENV 105 and ENV 205 are summarized in the following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257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257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Kairos-Developed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products consist of five pre-clinical or clinical-trial stage drug candidates developed by Kairos and designed to target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an orally available GITR (glucocorticoid-induced tumor necrosis factor receptor) ligand small-molecule antagonist designed to deplete regulatory T cells (Tregs) and activate effector T cells to augment the antitumor immune response for the treatment of patients with cancer. We are developing KROS 101 as a systemic immune modulator to address immunosuppressive activity of solid cancers and we are currently working towards completing IND-enabling pharmacokinetic, toxicity and safety studies in 2024 . KROS 101 stabilizes the GITR ligand to signal GITR to impact cancer therapy. GITR is a powerful checkpoint that suppresses the immune response against cancer. This checkpoint is a central switch that promotes “killer” effector T cell functions and hampers inhibitory regulatory T cell (Treg) functions. Due to its central role in regulating Treg, GITR receptor complex is considered an optimal therapeutic target for treating cancer. This may be the optimal complement to add to current checkpoint inhibitors as it shows a dose dependent effective response in increasing the immune response. As a competitive antagonist, KROS 101 could be dosed to avoid the typical common side effects of checkpoint inhibitors.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GITR targeting small molecule has the potential to be a significant improvement over existing antibody treatments that have been tested in clinical trials. When GITRL binds to the GITR on the surface of Treg cells, the suppressive activity of Treg cells against effector T cells is reduced. While on the effector T cell, GITR-GITRL binding induces the proliferation of effector T cells. This receptor is central to the regulation of the immune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previous competitor therapeutics targeting GITR were antibodies that bind the receptor, our small molecule drug fits into the GITR ligand stabilizing the three-pronged trimer structure. This structure enables the amplification of the GITR receptor trimer, leading to physiologic signaling for T cell proliferation. The analogy is a digital signal rather than a limited analog signal. This powerful physiologic signal can lead to exponential signaling of T cells to proliferate against cancer cells. In addition, the small molecule half-life enables reversibility, allows for fine tuning to limit side effects. Having both agonist and antagonist molecules can reverse potential untoward effects. In addition, this small molecule may also be given orally as a medication. The discovery of KROS 101 was the culmination of transformative structural biology based on exclusive proprietary 3D crystallography first used to model GITR ligand by Kairos’ scientists.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currently in pre-IND studies in development for a Phase 1 trial.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102 is a GITR antagonist designed to increase the inhibitory regulatory T cell (Treg) functions, while hampering T effector cell numbers and function. KROS 102 has been shown to decrease T effector cells and increase Treg cells in a dose dependent fashion to treat autoimmune diseases. We are developing a novel GITR inhibitor that can impact the abnormal immune responses against one’s own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central role in regulating Treg, the GITR receptor complex is an optimal therapeutic target to treat autoimmunity. By potently and specifically inhibiting an immune response, this strategy may impact autoimmune diseases such as Crohn’s disease, multiple sclerosis, and rheumatoid arthritis. KROS 102 has been shown to decrease T effector cells and increase Treg cells in a dose dependent fashion. KROS 102 is currently in preclinical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is a proprietary technology for the production of activated T cells. Activated T cells (ATC) are killer T cells that are made from a patient’s white blood cells in a cell culture by activating with cytokines or T cell activating signals and by priming dendritic cells loaded with glioblastoma cancer stem cell specific antigens. Kairos generates activated T cells that will be infused intravenously into patients with recurrent glioblastoma.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begins with the activation of T cells using dendritic cells for the treatment of patients with glioblastoma. Activated T cells (ATC) are killer T cells that are made from a patient’s white blood cells in a cell culture by activating with cytokines or T cell activating signals and by priming dendritic cells loaded with glioblastoma cancer stem cell specific antigens. Cytotoxic and helper T cells are generated in a cell manufacturing center and infused into patients with recurrent glioblastoma.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KROS 201 has the potential to become a novel T cell therapy that allows a “plug and play” scenario where a patient’s specific tumor can be addressed as well as the improvement of cancer treatment by stimulating patients’ immune systems to generate a long-term population of cytotoxic T cells &amp; helper T cells directed against the tumor.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IND-enabling pharmacology and toxicology studies and submitted an IND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301 is a tumor-targeting small molecule and checkpoint inhibitor with two distinct mechanisms of action resulting from blocking intranuclear localization of RelA, a key component of the NF-KB pathway. NF-KB is a key component for cancer growth and drug resistance. KROS 301 targets tumor cells in in RelA/p65 biomarker positive solid tumors. The use of this biomarker enables choosing patients that will respond to the drug enabling efficient clinical trials that are more likely to succeed. KROS 301 is in active pre-clinical development. Separate approval will be required for the development and approval of a companion diagnostic. This approval may be delayed or not issued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401 is a tumor microenvironment immune modulator and cyclic peptide inhibitor of IL-4 and IL-13 reversing tumor associated macrophage inhibition. KROS 401 reduced the M2 macrophage population and limits fibrosis of the pancreas due to anti-inflammatory process (Xue, Nature Com. 2015). Other indications may include pulmonary fibrosis, Crohn’s disease, and other inflammatory conditions. KROS 401 blocks the IL4/IL13 cytokine immune receptors for triple negative breast cancer and in addition, it increases anti-tumor response in conjunction with radiation therapy in an animal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it became clear that macrophages in tumors are altered by the Th2 cytokines IL-4 and IL-13, inducing alternatively activated macrophages or M2. Breast cancer associated tumor associated macrophages are mainly activated M2 macrophages. Thus, shifting the balance toward M1 macrophages will prevent tumor growth and enable T cell activation and killing, which is dependent on Th1 cytokines. We will target a key Th2 cytokine pathway, IL-4, and IL-13 to block macrophage immunosuppression with KROS 401, thereby allowing T cells to access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there are significant advantages to KROS 401 as our peptide binds to IL13R alpha1 and IL4R alpha1 (type I) receptor complex and blocks both IL-4 and IL-13 mediated signaling. The implication is that targeting IL-4Ralpha is predominantly for indications such as asthma or eczema, while the type I is for macrophages/tumor growth (esp IL13R). KROS 401 is in preclinical development.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 and Enviro-Licensed or -Acquired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Enviro’s product portfolio includes two therapeutic agents at different stages of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105 is a Phase 2 clinical stage therapeutic agent designed to address cancer progression. ENV 105 is an antibody therapeutic designed for use by prostate cancer patients resistant to androgen-targeted therapy, which is being tested in a Phase 2 clinical trial. We began accruing patients for the trial in September 2023.  This multicenter randomized Phase 2 trial involving Cedars-Sinai Medical Center and City of Hope in Los Angeles California and Huntsman Cancer Center in Utah is testing the combination of a third-generation androgen targeted therapy, apalutamide (Janssen), with or without ENV 105 for prostate cancer patients that have developed resistance to at least one other androgen targeted inhibitor (NCT05534646). Dr. Edwin Posadas is the principal investigator of this multi-institutional trial. Dr. Posadas is Director of the Experimental Therapeutics Program and the Medical Director of the Urologic Oncology Program at the Samuel Oschin Comprehensive Cancer Institute at Cedars-Sinai Medical Center. Companion biomarkers for efficient selection of patients to potentially respond to the drug will be evaluated in this trial. The genetic biomarker potentially identifies responsive patients to ENV 105 prior to therapy for a future Phase 3 trial. The companion biomarker would require a separate approval by the FDA. Prostate cancer is the most common, non-cutaneous cancer affecting men in the United States and 1.2 million new cases registered worldwide. It is also the second leading cause of cancer death in American males. Androgen targeted therapy accounts for USD 15 billion in sales in 8 primary markets. Since nearly all patients eventually develop resistance to androgen targeted therapy, addressing this population with a drug targeting endoglin (ENV 105) is of high value for this single indication. In clinical trials, ENV 105 has been shown to be reasonably well-tolerated in patients as an adjunct to contemporary androgen targeted inhibitors (NCT03418324). Grade 3 hyponatremia, urinary retention, and cellulitis were noted on the abiraterone arm. None of these were attributed to the use of ENV105. No grade 3 events were noted on the enzalutamide arm. The most frequent grade 1-2 events occurring in at least two patients (listed as abiraterone, enzalutamide) included anemia, nausea, and gingival bleeding. Careful mechanism-of-action studies have revealed that ENV 105 impacts a more ubiquitous means of cancer drug resistance, cancer dormancy, the growth potential for this drug alone can be large. A Phase 1 EGFR antagonist resistant non-small cell lung cancer targeted therapy combination of Tagrisso (osimertinib, AstraZeneca) and ENV 105 is at Cedars-Sinai Medical Center. The principal investigator of this clinical trial is Dr. Karen L. Reckamp, Professor in Medicine, Director of the Division of Medical Oncology at Cedars-Sinai Medical Center. We also expect targeted therapies to contribute to the growth of the prostate and EGFR-dependent non-small cell lung cancer market, as immune therapies have not shown efficacy for these two cancer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205, an antibody fragment targeting mitochondrial DNA was shown to limit chemotherapy resistant prostate cancer in preclinical studies. Mitochondrial DNA depletion limit inflammation-induced pro-tumorigenic activity and sensitizes prostate cancer to docetaxel. This biologic is a first of its kind strategy of chemotherapy sensitization. The development of chemotherapy resistance is an unfortunate eventuality for patients with solid tumors. ENV 205 has been shown to particularly sensitize tumors to docetaxel, a taxane class of chemotherapy. Docetaxel is used to treat several cancers such as stomach cancer, breast cancer, non-small-cell lung cancer, prostate, and head and neck cancer. Apart from restoring efficacy of docetaxel in certain resistant tumors, the use of ENV 205 allows for reduced dosing of the chemotherapy required to achieve the same tumor cell killing. This is paradigm shifting in patient quality of life, limiting the significant side-effects of chemotherapy. According to Business Research Insights, docetaxel market size $137 billion globally in 2024, and is expected to reach $329 billion by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cancer drug spending was valued at approximately $232 billion in 2024, and is expected to reach some $532 billion by 2031 driven largely by the growth of targeted therapies and immuno-oncology (https://www.biospace.com/oncology-drugs-market-to-reach-usd-532-91-billion-by-2031-coherent-market-insights#:~:text=The%20global%20Oncology%20Drugs%20Market,report%20by%20Coherent%20Market%20Insights.). Global immunotherapy market was valued at $226 billion by 2024 and is projected to grow at a CAGR of 11.9% from 2025 to 2030 (Grand View Research). Increasing patient pool and higher mortality rates are augmenting the need for cancer immunotherapy globally. We are uniquely positioned to advance our immunotherapies that may have the potential to transform the way cancer is treated using antibodies that target CD105 to reverse drug resistance to prostate and lung cancer and activated T cells that target cancer stem cells that are the root of glioblastoma. Our pipeline of immunotherapeutic agents that signals growth of effector T cells against cancer, and reverse immunosuppression at the cancer site are being rapidly advanced to address large unmet needs in cancer immunotherapy.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 application of ENV 105 as a complementary drug to support standard of care cancer therapy for many cancer types has revealed numerous potential therapeutic strategies that have not been exhaustively explored in pre-clinical models. This is based on the identification that ENV 105 acts on both the cancer cells and cancer associated fibroblastic cells, thus it complements many cancer epithelia-directed therapies. However, we have focused on three indications in pre-clinical studies, two of which have matured to clinical trials: prostate cancer (Phase 2 with androgen signaling inhibitors), lung cancer (Phase 1 with EGFR antagonist), and head and neck cancer (preclinical with radiation or chemotherapy).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Prostate cancer</w:t>
      </w:r>
      <w:r>
        <w:rPr>
          <w:rFonts w:ascii="Times New Roman;Times;Serif" w:hAnsi="Times New Roman;Times;Serif"/>
          <w:b w:val="false"/>
          <w:i w:val="false"/>
          <w:caps w:val="false"/>
          <w:smallCaps w:val="false"/>
          <w:sz w:val="20"/>
        </w:rPr>
        <w:t>: There are some 300,000 castrate resistant prostate cancer patients in the U.S. eligible to be given combination therapy of ENV 105 + androgen signaling inhibitors for $5,000 per month (based on comparable neutralizing antibodies). This would suggest a potential US$9 billion gross sales for ENV 105 for a six-month dose in the U.S. for this single indication. As a point of reference, androgen signaling inhibitors on their own make up $10 billion market inclusive of Sanofi; Johnson and Johnson Services, Inc.; Pfizer, Inc.; Astellas Pharma, Inc.; and Bayer AG - predicted to grow to $15 billion global market by 2027 of castrate resistant prostate cancer patients. None have been approved to extend efficacy apart from chemotherapy (docetaxel and cabazitaxel) with undesirable toxicity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Lung cancer</w:t>
      </w:r>
      <w:r>
        <w:rPr>
          <w:rFonts w:ascii="Times New Roman;Times;Serif" w:hAnsi="Times New Roman;Times;Serif"/>
          <w:b w:val="false"/>
          <w:i w:val="false"/>
          <w:caps w:val="false"/>
          <w:smallCaps w:val="false"/>
          <w:sz w:val="20"/>
        </w:rPr>
        <w:t>: There are approximately 30,466 patients with an EGFR driven non-small cell lung cancer annually in the U.S. The incidence of EGFR driven NSCLC is most prevalent in non-smokers and those of east Asian descent, 35-40% of NSCLC - 341,633 patients annually in Asia (China, India, Japan, S. Korea, Thailand, Philippines). To determine lung cancer market share for ENV 105, the current market share for Tagrisso (US$3 billion annual sales for AstraZeneca) can be used as point of reference. Accordingly, ENV 105 could have a $1 billion market share in the U.S. as a combination therapy with EGFR antagonists to improve or extend its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 and neck cancer</w:t>
      </w:r>
      <w:r>
        <w:rPr>
          <w:rFonts w:ascii="Times New Roman;Times;Serif" w:hAnsi="Times New Roman;Times;Serif"/>
          <w:b w:val="false"/>
          <w:i w:val="false"/>
          <w:caps w:val="false"/>
          <w:smallCaps w:val="false"/>
          <w:sz w:val="20"/>
        </w:rPr>
        <w:t>: The capacity for ENV105 to complement both radiation and chemotherapy would suggest future clinical application in many solid tumor types. For head and neck cancer, the World Health Organization estimates more than 550,000 new cases of and around 300,000 deaths per year. The rising consumption of alcohol and tobacco is a major factor behind estimated 7.9% increase in the head and neck cancer by 2030. The global head &amp; neck cancer drug market is estimated to reach $8.1 billion in 2031. (See https://www.ihealthcareanalyst.com/global-head-neck-squamous-cell-carcinoma-drugs-market/). Chemotherapy is the standard of care alone or in combination with radiation therapy, where toxicity is the greatest limitation. Administration of ENV 105 enables lower radiation dosing to improve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101 and KROS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Checkpoint inhibitors are immunotherapeutic agents that block proteins that suppress a potent immune response of the body against cancers and other “foreign” agents. KROS 101 and 102 are checkpoint inhibitors and agonists that enable T cells to expand and contract respectively. The global immune checkpoint inhibitor market size was $47.4 billion in 2023 and anticipated to be $189.1 billion in 2032 with a CAGR of 16,7% from 2024 to 2032 (Global Markets Insights; https://www.gminsights.com/industry-analysis/immune-checkpoint-inhibitors-market). According to the same report, there was a $22.9 billion immune checkpoint inhibitors market in North America as of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is an activated T cell therapy that targets glioblastoma. T cell therapy market size is expected to be around $20.8 billion by 2030 from its value of $4.9 billion in 2021 with a CAGR of 20.4% during the forecast period 2022-2030 (Vision Research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small-molecule cancer therapies market size was valued at $175.3 billion in 2021 and is expected to have a CAGR of 5.44% from 2022 to 2030 (Grand View Research). KROS 301 is a small molecule that targets the NF-kB pathway in cancer to prevent cancer growth and block checkpoint inhibitor expression of PD-L1.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peptide therapeutics market size was $117.3 billion in 2024 and is estimated to grow CAGR of 10.77% from 2025 to 2030 (Grand View Research). KROS 401 is a cyclic peptide that blocks IL-4 and IL-13 receptors on tumor associated macrophage to reverse immune suppression at the tumor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Cachexia is debilitating disease of muscle wasting not treatable by nutrition supplementation associated with the death of 50% of all cancer, 20% of AIDS, and 30% of COPD patients, according to [Argilés et al. (2023) Nature Reviews Clinical Oncology 20:250-264]. Cachexia is an underrecognized consequence of many chronic diseases. We believe ENV 205 is a molecule found to limit the process of muscle wasting through the capture and excretion of mitochondrial DNA in circulation. Cachexia is considered an orphan disease in the U.S. and Europe, increasing hospitalization costs and length of stay in several disease types. The specific cancer cachexia therapeutics market was over $2 billion in 2022 worldwide, with an estimated growth to to over $4 billion by 2032, according to Market.US. The application of ENV 205 as cachexia therapeutic is further supported by the demonstrated restoration of docetaxel therapy sensitivity in resistant prostate cancer models. Taxane-based therapy, inclusive of docetaxel, paclitaxel, and cabazataxel, is standard of care for majority of solid tumors (inclusive of breast cancer, non-small cell lung cancer, advanced stomach cancer, head and neck cancer and metastatic prostate cancer). Strong preclinical data suggest ENV 205 chemotherapy sensitization in a combination therapy setting and limit the development of cachexia as a single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aggressively pursue ENV 105 and ENV 205 in pre-clinical and clinical trials. Future therapeutic targets will be developed based on the overriding mission to complement traditional cancer-targeted drugs with those that address the tumor microenvironment.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unlock the power of the immune system on the two most pervasive problems in cancer treatment: (i) resistance to therapy and (ii) immune suppression by cancer. We believe this road will lead to major improvement in the quality of life of cancer patients and will transform the outcomes of patients. We seek to develop cutting-edge therapeutics for cancer patients that reverse the inhibitory effects of cancer on the immune system. To this end, our strategy involves rapidly and efficiently advancing our existing portfolio of innovative products through clinical development and leveraging our current industry-leading team. The strategy consists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multi-pronged toolkit of potent and life changing therapeutics with differing modalities, targets, and stages of development. Their commonality is targeting key mechanisms of drug resistance and immune suppression by cancer.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academic research and clinical connections with our industry collaborations.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enrollment of prostate patients in a randomized multi-institutional Phase 2 trial of ENV 105.</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enrollment in a Phase 1 trial of ENV105 for patients with non-small lung cancer on Tagrisso.</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 Phase 1 trial of activated T cell therapy for KROS 201 in patients with glioblastoma.</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pre-IND studies for the checkpoint inhibitor KROS 101.</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pipeline of immunotherapeutics for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portfolio of innovative therapeutics to mitigate risk.</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virtual infrastructure for efficient execution of collaborative clinical and translational research.</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internal development capabilities to leverage close academic partnerships.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intend to deploy an aggressive, three-pronged, growth strategy that we believe will help us develop our clinical pipeline and maximize our success, consisting of strategic partnerships, commercial development, and portfolio optimization.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Strategic Partnerships</w:t>
            </w:r>
            <w:r>
              <w:rPr>
                <w:rFonts w:ascii="Times New Roman;Times;Serif" w:hAnsi="Times New Roman;Times;Serif"/>
                <w:b w:val="false"/>
                <w:i w:val="false"/>
                <w:caps w:val="false"/>
                <w:smallCaps w:val="false"/>
                <w:sz w:val="20"/>
              </w:rPr>
              <w:t xml:space="preserve"> - We will focus on expanding our existing pipeline through establishing strategic partnerships with companies that have interesting products and technologies. We intend to focus on novel, early-stage and preclinical assets in a variety of therapeutic areas.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 Development</w:t>
            </w:r>
            <w:r>
              <w:rPr>
                <w:rFonts w:ascii="Times New Roman;Times;Serif" w:hAnsi="Times New Roman;Times;Serif"/>
                <w:b w:val="false"/>
                <w:i w:val="false"/>
                <w:caps w:val="false"/>
                <w:smallCaps w:val="false"/>
                <w:sz w:val="20"/>
              </w:rPr>
              <w:t xml:space="preserve"> - We expect to participate and assist in the commercial development activities of its assets with our strategic partners. Commercial development activities may include, but are not limited to, clinical development, market research, healthcare economics, market access, sales/marketing, and commercial launch strategies.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Portfolio Optimization</w:t>
            </w:r>
            <w:r>
              <w:rPr>
                <w:rFonts w:ascii="Times New Roman;Times;Serif" w:hAnsi="Times New Roman;Times;Serif"/>
                <w:b w:val="false"/>
                <w:i w:val="false"/>
                <w:caps w:val="false"/>
                <w:smallCaps w:val="false"/>
                <w:sz w:val="20"/>
              </w:rPr>
              <w:t xml:space="preserve"> - We will continue to evaluate, prioritize, optimize, and make appropriate changes in our pipeline portfolio as market development dynamics and/or product opportunities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2924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924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led by our CEO and Chairman, Dr. John S. Yu, our Chief Scientific Officer, Dr. Neil Bhowmick, our Vice President of Research and Development, Dr. Ramachandran Murali, and our Chief Financial Officer, Mr. Doug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is a Professor and Clinical Chief in the Department of Neurosurgery and Director of the Brain Tumor Center at Cedars-Sinai Medical Center in Los Angeles, California. Dr. Bhowmick is a Professor of the Department of Medicine and Director of the Cancer Biology Program at Cedars-Sinai Medical Center. Dr. Murali is a structural biologist at Cedars-Sinai Medical Center, and the inventor, with others, of three of the patented technologies licensed to Kairos.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Dr. Bhowmick and Dr. Murali have developed certain proprietary technology, and identified other proprietary technology developed by researchers and Cedars, that the Company will pursue for commercialization. Proprietary technology invented and developed by doctors and scientists and Cedars are owned by Cedars, and then optioned and/or licensed to such doctors and scientists, or other third parties, for commercialization in partnership with Cedars. Kairos and its subsidiary Enviro have multiple such options and/or license agreements with Cedars regarding proprietary technology that the Company is pursuing for commercialization, as described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patent rights are subject to the license agreements between the patent owner and the Company,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Intellectual Property Agreements with Cedars-Sinai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has entered into four Exclusive License Agreements with Cedars-Sinai Medical Center, which are sometimes referred to as the Kairos-Cedars license agreements, which grant Kairos exclusive licensing rights (including the right to sublicense) with respect to certain patent rights owned by Cedars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4"/>
        <w:gridCol w:w="10021"/>
      </w:tblGrid>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 invented by Dr. John S. Yu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 invented by Dr. Ramanchandran Murali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 invented by Dr. Ramanchandran Murali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invented by Dr. Ramanchandran Murali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1 above, Kairos is required to pay (i) an initial license fee in the mid five-figures upon the raising of $500,000 in capital, (ii) an annual maintenance fee in the low five-figures, (iii) royalties based on low single-digit percentage of patent product sales and less than one percent of other sales and (iv) other non-royalty sublicense fees ranging from a mid-single-digit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Kairos is required to make payments to Cedars based on the following milestones: (i) successful completion of Phase 1 clinical trial; (ii) the successful completion of Phase 2 clinical trial and receipt of U.S. Food and Drug Administration, or FDA, or equivalent regulatory agency in another jurisdiction approval for a Phase 3 clinical trial; (iii) receipt of FDA approval; and (iv) cumulative net sales exceeding $50,000,000. If all of these milestones are met, the required milestone payments will total $4,400,000.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2, 3 and 4 above, Kairos is required to (i) pay an initial license fee of $15,000, (ii) reimburse Cedars for patent protection costs ranging from the high four-figures to the mid-five-figures, (iii) pay an annual maintenance fee in the low five-figures and (iv) pay royalties based on a low single-digit percentage of net sales. The royalty obligations as to each product will terminate on a country-by-country basis concurrently with the expiration of the last to expire of a valid claim within the patent rights that covers such product, including any term extensions thereof. There are no non-royalty expiration dates. Patent expiration dates and specific jurisdictions of foreign patents that we in-license from Cedars-Sinai are listed in the Patent Table at page 100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 Intellectual Property Agreements with Cedars-Sinai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2020, Enviro entered into two Exclusive Option Agreements with Cedars-Sinai Medical Center that gives Enviro options to enter into an Exclusive Agreement with Cedars which would grant Enviro exclusive licensing rights (including the right to sublicense) to certain patent rights owned by Cedars with respect to (1) compositions and methods for treating diseases and conditions by depletion of mitochondrial DNA from circulation for detection of mitochondrial DNA, and (2) sensitization of tumors to therapies through endoglin antagonism.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these agreements, Enviro agreed to pay option fees of $2,000 and $3,000, respectively. Enviro’s options expire nine months from the effective date. On January 9, 2021 and January 11, 2021, the parties agreed to extend both nine-month option periods for an additional six months. In consideration of these extensions, Enviro agreed to pay an extension fee of $500, and $1,000, respectively. Enviro entered into two Exclusive License Agreements with Cedars-Sinai Medical Center on June 2, 2021. Enviro and Cedars entered into: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5"/>
        <w:gridCol w:w="9990"/>
      </w:tblGrid>
      <w:tr>
        <w:trPr/>
        <w:tc>
          <w:tcPr>
            <w:tcW w:w="2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for Enviro to develop, manufacture, use and sell products utilized or derived from patent rights worldwide, which include one patent application in the United States related to the “Compositions and Methods for Treating Diseases and Conditions by Depletion of Mitochondrial DNA from Circulation and for Detection of Mitochondrial DNA” invented by Dr. Neil Bhowmick and others; and</w:t>
            </w:r>
          </w:p>
        </w:tc>
      </w:tr>
      <w:tr>
        <w:trPr/>
        <w:tc>
          <w:tcPr>
            <w:tcW w:w="2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for Enviro to develop, manufacture, use and sell products utilized or derived from the patent rights and technical information worldwide, which include six patent applications in the United States, Australia, Canada, China, Europe and Japan related to the “Sensitization of Tumors to Therapies Through Endoglin Antagonism” invented by Dr. Neil Bhowmick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milestones agreed to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1"/>
        <w:gridCol w:w="10024"/>
      </w:tblGrid>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within two years of the effective date, as stipulated in the agreement thereof (the “Effective Date”);</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toxicology studies within two and a half years of the Effective Date;</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IND within three years of the Effective Date; and</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the Phase 1 trial within four years of the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completed milestones 1, 2 and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two Enviro-Cedars license agreements, Enviro must meet certain milestones relating commercialization, and, if not met or extended, Cedars may convert the exclusive licenses into non-exclusive licenses or to co-exclusive licenses, or terminate the licenses. In exchange for each of the licenses, Enviro is obligated to pay an upfront license fee, plus an additional fee when Enviro has raised at least $250,000 in capital company-wide for any program or purpose; provided, however, that the Company will only have to pay such fee once between both Enviro-Cedars license agreements. Enviro was also obligated to reimburse Cedars for the costs incurred for the prosecution of the patent rights subject to the Enviro-Cedars license agreements prior to the date of execution of such agreements. The aggregate potential fees that Enviro may have to pay in exchange for the licenses is approximately $690,000 as of December 31, 2024.  Together, Kairos and Enviro owed a total of approximately $950,000 to Cedars, of which $750,000 was converted into 312,500 shares of common stock, or 60% of the IPO price, upon closing of the IPO. And on November 13, 2024, an additional $200,000 was converted into 150,830 shares of common stock, using a conversion price equal to 60% of the closing price on November 13, 2024. Cedars will also be entitled to receive royalty payments of a mid-single-digit percentage of net sales of products associated with the licensed patent right and less than one percent of net sales of other products derived from Cedars’ technical information, with a minimum royalty year in the low five-digits due beginning on the third anniversary of the effective date of the license. To the extent Enviro derives non-royalty sublicensing revenues, a high 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shall pay Cedars in connection with achieving certain milestones relating to products derived from the patent rights: (i) successful completion of Phase 1 clinical trial; (ii) successful completion of Phase 2 clinical trial, receipt of FDA approval, and approval for a Phase 3 clinical trial; (iii) FDA approval of a new drug application or biologics license applications; and (iv) cumulative net sales exceeding $100,000,000. The maximum aggregate milestone payment for ENV 105 will be $7,150,000 when cumulative net sales have exceeded $100,000,000. The last-to-expire of licensed patents is scheduled to expire on June 14, 2037. Patent expiration dates, specific jurisdictions of foreign patents are listed in the Patent Table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Enviro-Cedars license agreements will, unless sooner terminated, continue in effect on a country-by-country basis until the last to expire of the patents covering the patent rights or future patent rights. Under the terms of the Enviro-Cedars license agreements, unless waived by Cedars, the agreement shall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of Enviro fails to undertake commercially reasonable efforts to exploit the patent rights or future patent rights; (d) within 60 days of Enviro’s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17, 2025, Enviro, Kairos and Cedars entered into a novation agreement pursuant to which the exclusive license was transferred from Enviro to Kairos, after which time Kairos accepted and assumed all obligations and liabilities under the exclusive license agreements and Enviro was relived of any further liabilities or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Supply Agreement with Tracon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Enviro, the Company’s formerly wholly-owned subsidiary, entered into an Enviro-Tracon license agreement with Tracon. Pursuant to the Enviro-Tracon license agreement, Tracon grants to Enviro access to inactive IND filings for “TRC105” in the United States, ownership of “TRC105” stored vials of drug product manufactured to GMP standards stored at Fisher Clinical or their designee, and assignment of Tracon’s patent rights to its “CD105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Enviro-Tracon license agreement, Enviro paid Tracon an upfront fee of $100,000, and was obligated to pay Tracon an additional $500,000 upon its or its successor’s completion of one or more financings through the sale of equity (or debt convertible to equity) in an amount of $10,000,000, and an additional $500,000 within 10 days of its or its successor’s completion of one or more financings through the sale of equity (or debt convertible to equity) in an amount of $22,000,000. In addition, Enviro was obligated to pay Tracon a royalty of 3% of net sales on a country-by-country basis of the products subject to the agreement, and non-royalty payments of 3% of consideration for sublicensing fees. The royalty payments would terminate upon the completion of use of the TRC105 product. The non-royalty payments would terminate upon payment of $500,000 after the financing of an aggregate amount of $22,000,000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becoming a wholly-owned subsidiary of the Company, Enviro issued Tracon equity ownership in Enviro equal to a number of shares of restricted common stock of Enviro equal to 7% on a fully diluted and converted basis of all common and preferred shares of Enviro. Thereafter, in connection with the Enviro-Kairos share exchange, the parties agreed that Tracon would receive, in exchange for its Enviro common stock, 280,000 shares of the restricted common stock of Kairos (which was then equal to 1.41229% of the issued and outstanding shares of Kairos on a fully diluted and converted basis). Under the Enviro-Tracon license agreement, until such time as Tracon has received all of the cash consideration (as described above), Enviro or its successor in interest, shall issue to Tracon, without further consideration, any additional common stock of Enviro, or such successor in interest, necessary so that Tracon maintains ownership of shares of Enviro, or such successor in interest, equal to the Tracon-Enviro Equity on a fully diluted and converted basis of all stock in Enviro (or its successor). However, as of the date of this Annual Report, all Tracon shares in Kairos have been sold and Tracon no longer has an ownership interest in Kairos.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Enviro-Tracon license agreement, which was assumed by Kairos effective April 17, 2025 pursuant to a novation agreement, we have exclusive licensing rights (which include the right to sublicense) to eight issued U.S. patents, four U.S. Utility or provisional patent applications, 24 issued patents and 24 patent applications in foreign jurisdictions. Patent expiration dates, specific jurisdictions of foreign patents are listed in the Patent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TABLE</w:t>
      </w:r>
    </w:p>
    <w:p>
      <w:pPr>
        <w:pStyle w:val="TextBody"/>
        <w:bidi w:val="0"/>
        <w:spacing w:before="0" w:after="0"/>
        <w:ind w:left="0" w:right="0" w:hanging="0"/>
        <w:jc w:val="left"/>
        <w:rPr>
          <w:caps w:val="false"/>
          <w:smallCaps w:val="false"/>
        </w:rPr>
      </w:pPr>
      <w:r>
        <w:rPr>
          <w:caps w:val="false"/>
          <w:smallCaps w:val="false"/>
        </w:rPr>
        <w:t> </w:t>
      </w:r>
    </w:p>
    <w:tbl>
      <w:tblPr>
        <w:tblW w:w="11890" w:type="dxa"/>
        <w:jc w:val="left"/>
        <w:tblInd w:w="0" w:type="dxa"/>
        <w:tblLayout w:type="fixed"/>
        <w:tblCellMar>
          <w:top w:w="0" w:type="dxa"/>
          <w:left w:w="0" w:type="dxa"/>
          <w:bottom w:w="28" w:type="dxa"/>
          <w:right w:w="0" w:type="dxa"/>
        </w:tblCellMar>
      </w:tblPr>
      <w:tblGrid>
        <w:gridCol w:w="1655"/>
        <w:gridCol w:w="60"/>
        <w:gridCol w:w="60"/>
        <w:gridCol w:w="2090"/>
        <w:gridCol w:w="60"/>
        <w:gridCol w:w="1220"/>
        <w:gridCol w:w="60"/>
        <w:gridCol w:w="60"/>
        <w:gridCol w:w="1625"/>
        <w:gridCol w:w="60"/>
        <w:gridCol w:w="1340"/>
        <w:gridCol w:w="60"/>
        <w:gridCol w:w="1070"/>
        <w:gridCol w:w="60"/>
        <w:gridCol w:w="1115"/>
        <w:gridCol w:w="60"/>
        <w:gridCol w:w="1235"/>
      </w:tblGrid>
      <w:tr>
        <w:trPr/>
        <w:tc>
          <w:tcPr>
            <w:tcW w:w="1655"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Case</w:t>
            </w:r>
          </w:p>
          <w:p>
            <w:pPr>
              <w:pStyle w:val="TableContents"/>
              <w:bidi w:val="0"/>
              <w:jc w:val="center"/>
              <w:rPr>
                <w:rFonts w:ascii="Times New Roman;Times;Serif" w:hAnsi="Times New Roman;Times;Serif"/>
                <w:b/>
              </w:rPr>
            </w:pPr>
            <w:r>
              <w:rPr>
                <w:rFonts w:ascii="Times New Roman;Times;Serif" w:hAnsi="Times New Roman;Times;Serif"/>
                <w:b/>
              </w:rPr>
              <w:t>Number.Sub</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Patent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Type of Patent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Expiration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017431.501AU0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2017286561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017313.004CA0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3,108,796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017313.005CA0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017431.501CA0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3026066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017431.502CA0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3162518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415" w:type="dxa"/>
        <w:jc w:val="left"/>
        <w:tblInd w:w="0" w:type="dxa"/>
        <w:tblLayout w:type="fixed"/>
        <w:tblCellMar>
          <w:top w:w="0" w:type="dxa"/>
          <w:left w:w="0" w:type="dxa"/>
          <w:bottom w:w="28" w:type="dxa"/>
          <w:right w:w="0" w:type="dxa"/>
        </w:tblCellMar>
      </w:tblPr>
      <w:tblGrid>
        <w:gridCol w:w="1640"/>
        <w:gridCol w:w="60"/>
        <w:gridCol w:w="60"/>
        <w:gridCol w:w="2090"/>
        <w:gridCol w:w="60"/>
        <w:gridCol w:w="1760"/>
        <w:gridCol w:w="60"/>
        <w:gridCol w:w="60"/>
        <w:gridCol w:w="1625"/>
        <w:gridCol w:w="60"/>
        <w:gridCol w:w="1340"/>
        <w:gridCol w:w="60"/>
        <w:gridCol w:w="1070"/>
        <w:gridCol w:w="60"/>
        <w:gridCol w:w="1115"/>
        <w:gridCol w:w="60"/>
        <w:gridCol w:w="123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017313.004CN1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2024104360758.0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017431.501CN0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201780050000.4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201810659773.9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 (People’s Republic)</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DESEASES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19848154.1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20850517.2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17814046.3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20893032.1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010" w:type="dxa"/>
        <w:jc w:val="left"/>
        <w:tblInd w:w="0" w:type="dxa"/>
        <w:tblLayout w:type="fixed"/>
        <w:tblCellMar>
          <w:top w:w="0" w:type="dxa"/>
          <w:left w:w="0" w:type="dxa"/>
          <w:bottom w:w="28" w:type="dxa"/>
          <w:right w:w="0" w:type="dxa"/>
        </w:tblCellMar>
      </w:tblPr>
      <w:tblGrid>
        <w:gridCol w:w="1580"/>
        <w:gridCol w:w="60"/>
        <w:gridCol w:w="60"/>
        <w:gridCol w:w="1940"/>
        <w:gridCol w:w="60"/>
        <w:gridCol w:w="1205"/>
        <w:gridCol w:w="60"/>
        <w:gridCol w:w="60"/>
        <w:gridCol w:w="1625"/>
        <w:gridCol w:w="60"/>
        <w:gridCol w:w="1340"/>
        <w:gridCol w:w="60"/>
        <w:gridCol w:w="1070"/>
        <w:gridCol w:w="60"/>
        <w:gridCol w:w="1115"/>
        <w:gridCol w:w="60"/>
        <w:gridCol w:w="1595"/>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Case Number.Sub Case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3303286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2036-06-01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 Germany, Switzerland &amp; Liechtenstein, United Kingdom.</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3194446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 Germany, Switzerland &amp; Liechtenstein, United Kingdom.</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1538/DELNP/2015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6445671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35882-714.7612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6602446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7095990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017313.003JP1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2020-148662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7530346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017313.004JP1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2024-120839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7092684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860" w:type="dxa"/>
        <w:jc w:val="left"/>
        <w:tblInd w:w="0" w:type="dxa"/>
        <w:tblLayout w:type="fixed"/>
        <w:tblCellMar>
          <w:top w:w="0" w:type="dxa"/>
          <w:left w:w="0" w:type="dxa"/>
          <w:bottom w:w="28" w:type="dxa"/>
          <w:right w:w="0" w:type="dxa"/>
        </w:tblCellMar>
      </w:tblPr>
      <w:tblGrid>
        <w:gridCol w:w="1640"/>
        <w:gridCol w:w="60"/>
        <w:gridCol w:w="60"/>
        <w:gridCol w:w="2090"/>
        <w:gridCol w:w="60"/>
        <w:gridCol w:w="1205"/>
        <w:gridCol w:w="60"/>
        <w:gridCol w:w="60"/>
        <w:gridCol w:w="1625"/>
        <w:gridCol w:w="60"/>
        <w:gridCol w:w="1340"/>
        <w:gridCol w:w="60"/>
        <w:gridCol w:w="1070"/>
        <w:gridCol w:w="60"/>
        <w:gridCol w:w="1115"/>
        <w:gridCol w:w="60"/>
        <w:gridCol w:w="123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017431.502JP0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2022-530781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017313.004KR0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10-2021-7006602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 (KR)</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017313.004KR1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10-2025-7000546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 (KR)</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35882-714.911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MY-180157-A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368996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Mexico</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085" w:type="dxa"/>
        <w:jc w:val="left"/>
        <w:tblInd w:w="0" w:type="dxa"/>
        <w:tblLayout w:type="fixed"/>
        <w:tblCellMar>
          <w:top w:w="0" w:type="dxa"/>
          <w:left w:w="0" w:type="dxa"/>
          <w:bottom w:w="28" w:type="dxa"/>
          <w:right w:w="0" w:type="dxa"/>
        </w:tblCellMar>
      </w:tblPr>
      <w:tblGrid>
        <w:gridCol w:w="1610"/>
        <w:gridCol w:w="60"/>
        <w:gridCol w:w="60"/>
        <w:gridCol w:w="1940"/>
        <w:gridCol w:w="60"/>
        <w:gridCol w:w="1220"/>
        <w:gridCol w:w="60"/>
        <w:gridCol w:w="60"/>
        <w:gridCol w:w="1625"/>
        <w:gridCol w:w="60"/>
        <w:gridCol w:w="1340"/>
        <w:gridCol w:w="60"/>
        <w:gridCol w:w="1460"/>
        <w:gridCol w:w="60"/>
        <w:gridCol w:w="1115"/>
        <w:gridCol w:w="60"/>
        <w:gridCol w:w="123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1501001224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8,221,753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2030-03-31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9,150,652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9,944,714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 of matter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2030-03-31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10,195,281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and Formulation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2034-12-25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10,881,641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2037-11-30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10,195,281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2037-11-30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10,245,298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Pharmaceutical composition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830" w:type="dxa"/>
        <w:jc w:val="left"/>
        <w:tblInd w:w="0" w:type="dxa"/>
        <w:tblLayout w:type="fixed"/>
        <w:tblCellMar>
          <w:top w:w="0" w:type="dxa"/>
          <w:left w:w="0" w:type="dxa"/>
          <w:bottom w:w="28" w:type="dxa"/>
          <w:right w:w="0" w:type="dxa"/>
        </w:tblCellMar>
      </w:tblPr>
      <w:tblGrid>
        <w:gridCol w:w="1610"/>
        <w:gridCol w:w="60"/>
        <w:gridCol w:w="60"/>
        <w:gridCol w:w="2090"/>
        <w:gridCol w:w="60"/>
        <w:gridCol w:w="1205"/>
        <w:gridCol w:w="60"/>
        <w:gridCol w:w="60"/>
        <w:gridCol w:w="1625"/>
        <w:gridCol w:w="60"/>
        <w:gridCol w:w="1340"/>
        <w:gridCol w:w="60"/>
        <w:gridCol w:w="1070"/>
        <w:gridCol w:w="60"/>
        <w:gridCol w:w="1115"/>
        <w:gridCol w:w="60"/>
        <w:gridCol w:w="123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11,547,738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017313.003US2</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18/093,667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017313.004US0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17/266,488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17/633,505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17/685,040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17/779,716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was originally incorporated on June 17, 2013 in the state of California as NanoGB13, Inc. The Company changed its name to “Kairos Pharma, Ltd.” on July 15, 2016. On May 10, 2023, we filed a certificate of conversion with the Secretary of State of the State of California, and on the same date, we also filed with the Delaware Secretary of State a certificate of conversion converting the Company from a non-Delaware corporation to a Delaware corporation pursuant to section 265 of the Delaware General Corporation Law t. In addition, on May 10, 2023, we filed a certificate of incorporation with the Secretary of State of the State of Delaware, thus completing our conversion into a Delaware corporation. In conjunction with the Company’s conversion into a Delaware corporation, on May 10, 2023, the Company conducted a 1-for-2.5 Reverse Stock Split. After the Reverse Stock Split, there were 10,334,357 shares of our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2019, Kairos entered into an Agreement of Merger with AcTcell Biopharma, Inc., or AcTcell, whereby the Company issued 5,045,000 shares of its common stock for all the issued and outstanding shares of AcTcell common stock. AcTcell was a California corporation that was incorporated on July 22, 2019. AcTcell’s only asset at the merger date was an Exclusive License Agreement dated August 30, 2019 between AcTcell and Cedars-Sinai Medical Center. AcTcell had no liabilities at the merger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the Company’s Chairman, Chief Executive Officer and shareholder, was the sole owner of AcTcell. The acquisition of AcTcell by Kairos was treated as a transaction between entities under common control resulting in the historical costs basis of AcTcell’s assets and liabilities being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incorporated on November 15, 2019, under the law of the state of California and was an early-stage company that is focused on the development of therapeutics targeting the tumor microenvironment to complement conventional and targeted therapies designed against the cancer cells. Kairos’s Chairman, Chief Executive Officer and shareholder, Dr. Yu, was also a founder and shareholder of Enviro.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2021, Kairos and Enviro entered into a share exchange agreement whereby Kairos acquired of all of the common stock of Enviro in exchange for stock in Kairos. In the Enviro-Kairos share exchange, the Enviro shareholders exchanged 100% of the issued and outstanding shares of Enviro (on a fully diluted basis) for 6,000,000 shares of newly issued restricted common stock of Kairos, which, as of the closing of the Enviro-Kairos share exchange: (i) represented approximately twenty percent (20%) of the outstanding shares of capital stock of the Company on a fully diluted basis, including all issued and outstanding convertible promissory notes, preferred stock, SAFEs, other securities convertible into capital stock, stock options and warrants, and after giving effect to the issuance of the shares in the Enviros-Kairos share exchange, and (ii) have voting power approximately equal to twenty percent (20%) of all shares eligible to vote on matters by the shareholders of Kairos. At the closing of the Enviro-Kairos share exchange, Kairos issued each of Dr. Yu and Dr. Neil Bhowmick (the other co-founder of Enviro) 1,860,000 of Kairos’ restricted common stock in exchange for their shares of Enviro. Kairos also issued Tracon Pharmaceutical, Inc., an unaffiliated third party, 280,000 shares of Kairos restricted common stock in exchange from their shares of Enviro, which Tracon had received pursuant to a license and supply agreement between Enviro and Tracon, pursuant to which Enviro had acquired certain licensing rights from Tracon.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Enviro-Kairos share exchange, prior to our 1-for-2.5 reverse split conducted in 2023 and including the newly issued shares in that transaction, Kairos had approximately 19,825,957 shares of common stock issued and outstanding on a fully diluted basis (including 18,825,957 outstanding shares of common stock, and 1,000,000 warrants exercisable into 1,000,000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17, 2025, the Company entered into novation agreements with Enviro and Enviro’s licensors, Tracon and Cedars-Sinai Medical Center, pursuant to which the Company assumed all responsibilities, liabilities and obligations of Enviro under such agreements and Enviro was released from all liability. At the same time, Enviro was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or operate manufacturing facilities for the production of clinical or commercial quantities of our product candidates. When we begin manufacturing, we intend to use vendors that are compliant with current cGMP, in pharmaceutical production. We expect that commercial quantities of any compound and materials for our product candidates, if approved, will be manufactured in facilities and by processes that comply with FDA and other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one full-time employee, our Chief Financial Officer, and three part-time employees (including our executive officers), each of whom is a part-time employee primarily engaged in research and development activities, and all hold M.D. or Ph.D. degrees. Aside from our Chief Financial Officer, all officers and directors of the Company worked approximately 20 hours per week in performance of their duties related to the Company. We consider our relationship with our employees to be good. None of our employees is subject to a collective bargaining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Talent development, compensation, and retention:</w:t>
            </w:r>
            <w:r>
              <w:rPr>
                <w:rFonts w:ascii="Times New Roman;Times;Serif" w:hAnsi="Times New Roman;Times;Serif"/>
                <w:b w:val="false"/>
                <w:i w:val="false"/>
                <w:caps w:val="false"/>
                <w:smallCaps w:val="false"/>
                <w:sz w:val="20"/>
              </w:rPr>
              <w:t xml:space="preserve"> We strive to provide our employees with a rewarding work environment, including the opportunity for growth, success, and professional development. We provide a competitive compensation and benefits package, including bonus and equity incentive plans, a 401(k) plan-all designed to attract and retain a skilled and diverse workforce.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Health and safety:</w:t>
            </w:r>
            <w:r>
              <w:rPr>
                <w:rFonts w:ascii="Times New Roman;Times;Serif" w:hAnsi="Times New Roman;Times;Serif"/>
                <w:b w:val="false"/>
                <w:i w:val="false"/>
                <w:caps w:val="false"/>
                <w:smallCaps w:val="false"/>
                <w:sz w:val="20"/>
              </w:rPr>
              <w:t xml:space="preserve"> We support the health and safety of our employees by providing comprehensive insurance benefits, an employee assistance program, company-paid holidays, a personal time-off program, and other additional benefits which are intended to assist employees to manage their well-being.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Inclusion and diversity:</w:t>
            </w:r>
            <w:r>
              <w:rPr>
                <w:rFonts w:ascii="Times New Roman;Times;Serif" w:hAnsi="Times New Roman;Times;Serif"/>
                <w:b w:val="false"/>
                <w:i w:val="false"/>
                <w:caps w:val="false"/>
                <w:smallCaps w:val="false"/>
                <w:sz w:val="20"/>
              </w:rPr>
              <w:t xml:space="preserve"> We are committed to efforts to increase diversity and foster an inclusive work environment that supports our workforce.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we closed on our initial public offering (“IPO”) of 1,550,000 shares of common stock at $4.00 per share, for gross proceeds of $6,200,000, following our listing on the NYSE American LLC, or NYSE American. Our IPO was underwritten by Boustead Securities, LLC, acting as lead underwriter, with the underwriters receiving 7% cash compensation and warrants to purchase a total of 108,500 shares of common stock, exercisable at $4.80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Line of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and Helena Global Investment Opportunities I Ltd (“Helena”) entered into an equity line of credit agreement (the “ELOC Agreement”), pursuant to which Helena agreed to purchase from the Company up to $30,000 shares of common stock (the “ELOC Shares”). The Company issued 670,641 shares of restricted common stock (the “Commitment Fee Shares”), valued at $900,000 (the “Issuance Value”) on the date of issuance, to Helena as the “Commitment Fee” for entry into the ELOC Agreement. The ELOC Agreement will be available for the Company’s use at such time following the filing, and subsequent effectiveness, of a resale registration statement registering the ELOC Shares for resale. Upon the effectiveness of the resale registration statement (the “Effective Date”), the Commitment Fee shares will be subject to a “true-up” pursuant to which, in the event the shares are valued at less than Issuance Value on the Effective Date, additional shares will be issued to Helena to bring ensure the ELOC Shares equal the Issuance Value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will terminate upon the following events: (i) the first day of the month next following the 36-month anniversary of the date of the ELOC Agreement or (ii) the date on which Helena has purchased the full $30,000,000 of ELOC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may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2025 PIPE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to purchase one share of common stock, exercisable for $0.001 per share, and a Common Warrant to purchase one and one half shares of common stock, exercisable at $1.40 per share (the “January 2025 PIPE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agreements remained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closed the January 2025 PIPE Offering for gross proceeds of $3,497,500 (or $1.399 per Pre-Funded Unit), with an additional $2,500 payable upon the Investor’s exercise of the Pre-Funded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Securities, LLC (“Boustead”) and D. Boral Capital LLC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Boustead and D. Boral.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2026 At-the-Market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sp_003"/>
      <w:bookmarkEnd w:id="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 development-stage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 development-stage biopharmaceutical company with a limited operating history and no products approved for commercial sale. There can be no assurance that we will, or if we do, when we will, obtain approval to commercialize our products and potentially generate revenue. We have incurred significant losses since our inception and we expect to incur losses over the next several years and may never achieve or maintain profitability. 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substantial additional funding in connection with our continuing operations and planned activities. 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our ongoing and future clinical trials of our current in-development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current in-development products and any of our future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identifying, obtaining, and conducting preclinical development, laboratory testing, and clinical trials of future product candidates that we may pursue;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timetable of manufacturing processes for development, clinical trials, and potential commercial use;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future product candidates that we may pursue;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funding that we receive under our non-dilutive funding opportunities, including government awards and government awards, if any, that we may apply for;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 for our current in-development products or any future product candidates that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revenue, if any, received from commercial sales of our current in-development products or any future product candidates that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current in-development products and any of our future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will likely cause dilution to our stockholders, restrict our operations, or require us to relinquish rights to our current in-development products or technologies or any of our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technologies, future revenue streams, research programs, or our current in-development products or any future product candidates, or to grant licenses on terms that may not be favorable to us. If we are unable to raise additional funds through equity or debt financings when needed, we may be required to delay, limit, reduce, or terminate our development of our current in-development products or any future product candidate or future commercialization efforts or grant rights to a third party to develop and market product candidates that we would otherwise prefer to develop and market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may make it difficult for you to evaluate the success of our business to date and to assess our future viability.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resources and limited operating history. There is only a limited basis upon which to evaluate our prospects for achieving our intended business objectives. We have not yet demonstrated the ability to successfully complete a large-scale, pivotal clinical trial, obtain marketing approval, manufacture a commercial scale product, arrange for a third party to do so on our behalf,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business with a limited operating history, we may encounter unforeseen expenses, difficulties, complications, delays and other known and unknown factors. We will eventually need to transition from a company with a research focus to a company capable of supporting commercial activities. We may not be successful in such a transition and, as a result,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our current in-development products or any of our future product candidates, our expenses could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Development, Clinical Testing, Manufacturing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heavily dependent on the success of our initial drug candidates, which are still under clinical development, and if any of these drugs does not receive regulatory approval or is not successfully commercialized,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that have gained regulatory approval by the FDA or comparable foreign regulatory authorities. As a result, our business is dependent on our ability to successfully complete clinical development of, obtain regulatory approval for, and, if approved, successfully commercialize one or more drug therapies in a timely manner. We cannot commercialize our drug therapies in the United States without first obtaining regulatory approval from the FDA; similarly, we cannot commercialize our drug therapies outside of the United States without obtaining regulatory approval from comparable foreign regulatory authorities. Before obtaining regulatory approvals for the commercial sale of our drug therapies for a target indication, we must demonstrate with substantial evidence gathered in preclinical studies and clinical trials, generally including two adequate and well-controlled clinical trials, and, with respect to approval in the United States, to the satisfaction of the FDA, that a drug candidate is safe and effective for use for that target indication and that the manufacturing facilities, processes and controls are adequate. Even if we were to successfully obtain approval of one of our drug therapies from the FDA or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or more of our drug therapies in one or more jurisdictions, or any approval contains significant limitations, we may not be able to obtain sufficient funding or generate sufficient revenue to continue the development of any other candidate that we may in-license, develop or acquire in the future. Furthermore, even if we obtain regulatory approval for one of our drug therapies, we will still need to develop a commercial organization, establish commercially viable pricing and obtain approval for adequate reimbursement from third-party and government payors. If we are unable to successfully commercialize one or more of our drug therapies, we may not be able to earn sufficient revenue to continue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obtain, or if there are delays in obtaining, required regulatory approvals, we will not be able to commercialize our current in-development products or our future product candidates, and our ability to generate revenue will be materially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in-development products and our future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foreign regulatory authorities, with regulations differing from country to country. Failure to obtain marketing approval for a product candidate will prevent us from commercializing the product candidate. We currently do not have any products approved for sale in any jurisdiction. We as a company only have limited experience in filing and supporting the applications necessary to gain marketing approvals and may rely on third-party contract research organizations to assist us in this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if any, by the FDA and comparable foreign authorities is unpredictable but typically takes many years following the commencement of clinical trials and depends upon numerous factors, including the substantial discretion of the regulatory authorities, government budget, and funding levels and statutory, regulatory, and policy changes. Average review times at the FDA have fluctuated in recent years, and disruptions at the FDA and other agencies may slow the time necessary for new drugs to be reviewed and/or approved. For example, over the last several years, including for 35 days beginning on December 22, 2018, the U.S. government has shut down several times and certain regulatory agencies, including the FDA, have had to furlough nonessential employees and stop routine activities. Events like this could significantly impact the ability of the FDA to timely review and process our regulatory submissions.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policies, regulations, or the type and amount of clinical data necessary to gain approval may change during the course of a product candidate’s clinical development. For instance, any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Europe and Japan. We have not obtained regulatory approval for any product candidate, and it is possible that none of our current in-development products or any product candidates we may seek to develop in the future will ever obtain regulatory approval. We are not permitted to market any product candidate in the United States until we receive regulatory approval of an NDA from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submitted a marketing application for any product candidates in any country or region. Any marketing application must include extensive preclinical, nonclinical, and clinical data and supporting information to establish the product candidate’s safety and efficacy for each desired indication. The marketing application(s) must also include significant information regarding the chemistry, manufacturing, and controls for the product candidate. Obtaining marketing authorization is a lengthy, expensive, and uncertain process. The FDA, EMA, PMDA, TGA, and other comparable regulatory authorities have substantial discretion in the review and approval process and may refuse to accept for filing any application or may decide that our data are insufficient for approval and require additional nonclinical, clinical, or other studies. Foreign regulatory authorities have differing requirements for approval of drugs with which we must comply prior to marketing. There can be no assurance that any foreign regulatory authorities will accept FDA approval as sufficient to support approval in that country. Obtaining marketing approval for marketing of a product candidate in one country does not ensure that we will be able to obtain marketing approval in other countries, but the failure to obtain marketing approval in one jurisdiction could negatively affect our ability to obtain marketing approval in other jurisdictions. The FDA or any foreign regulatory bodies can delay, limit or deny approval of our current in-development products or other future product candidates or require us to conduct additional nonclinical or clinical testing or abandon a program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shd w:fill="FFFFFF" w:val="clear"/>
        <w:tblLayout w:type="fixed"/>
        <w:tblCellMar>
          <w:top w:w="0" w:type="dxa"/>
          <w:left w:w="0" w:type="dxa"/>
          <w:bottom w:w="0" w:type="dxa"/>
          <w:right w:w="0" w:type="dxa"/>
        </w:tblCellMar>
      </w:tblPr>
      <w:tblGrid>
        <w:gridCol w:w="185"/>
        <w:gridCol w:w="5645"/>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with the design or implementation of our clinical trials;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ambiguous results from our clinical trials or results that may not meet the level of statistical significance required by the FDA or comparable foreign regulatory agencies for approval (for example, otherwise positive clinical results may be called into question if patient reported outcomes introduce ambiguity due to factors such as co-morbidities and other underlying patient issues);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experienced by participants in our clinical trials or by individuals using drugs similar to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to the satisfaction of the FDA or the applicable foreign regulatory body that our product candidates are safe and effective for the proposed indication;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with the interpretation of data from nonclinical studies or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the clinical and other benefits of our product candidates outweigh any safety or other perceived risks;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for additional nonclinical studies or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regarding the formulation, labeling, and/or the specifications we propose for our product candidates;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policies, requirements, or regulations rendering our clinical data insufficient for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 commencement and rate of completion of preclinical studies and clinical trials for a product candidate may be delayed by many factors, including but not limited to: an inability to generate sufficient preclinical or other in vivo or in vitro data to support the initiation of clinical studies; delays in reaching a consensus with regulatory agencies on study design; any setbacks or delays on account of any pandemic; and the FDA or foreign regulatory authorities not permitting the reliance on preclinical or other data from published scientific literature.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 are expensive, time-consuming and difficult to design and implement, and involve an uncertain outcome.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also experience numerous unforeseen events during our clinical trials that could delay or prevent our ability to receive marketing approval or commercialize the product candidates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can occur at any time during the clinical trial process. Because the results of preclinical studies and early clinical trials are not necessarily predictive of future results, our drug therapies may not have favorable results in later preclinical and clinical studies or receive regulatory approval. We may experience delays in initiating and completing any clinical trials that we intend to conduct, and we do not know whether planned clinical trials will begin on time, need to be redesigned, enroll patients on time or be completed on schedule, or at all. Many of the factors that cause, or lead to, a delay in the commencement or completion of clinical trials may also ultimately lead to the denial of marketing approval of our product candidates. Clinical trials can be delayed for a variety of reasons, including delays related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regulatory authorities may change the requirements for approval even after they have reviewed and commented on the design for our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studies;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approval to commence and/or continue to conduct a trial, including but not limited to obtaining IND approval by FDA;</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an agreement on acceptable terms with prospective contract research organizations, or CROs, and clinical trial sites, the terms of which can be subject to extensive negotiation and may vary significantly among different CROs and trial sites;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or IRB, approval at each site, or Independent Ethics Committee, or IEC, approval at sites outside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 and in sufficient numbers;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by regulatory authorities, or IRBs, including as a result of unforeseen safety issues or side effects or failure of trial sites to adhere to regulatory requirements or follow trial protocols;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failing to adequately enroll study subjects, committing fraud or other violations of regulatory requirements, or dropping out of a trial, which can render data from that site unusable in support of regulatory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 sufficient number of clinical trial sites;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our drug therapies for use in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suspended or terminated by us, the IRBs or IECs of the institutions in which such trials are being conducted, the Data Safety Monitoring Board, or DSMB, for such trial or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as described in “Item 1A Risk Factors- Risks Related to Our Dependence on Third Parties.”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cancer patients with our oncology product candidates may be used in combination with other cancer drugs, such as other immuno-oncology agents, monoclonal antibodies or other protein-based drugs or small molecule anti-cancer agent such as targeted agents or chemotherapy, which can cause side effects or adverse events that are unrelated to our product candidate but may still impact the success of our clinical trials. Additionally, our product candidates could potentially cause adverse events. The inclusion of critically ill patients in our clinical trials may result in deaths or other adverse medical events due to other therapies or medications that such patients may be using. As described above, any of these events could prevent us from obtaining regulatory approval or achieving or maintaining market acceptance of our product candidates and impair our ability to commercialize our products. Because all of our product candidates are derived from our platform technologies, a clinical failure of one of our product candidates may also increase the actual or perceived likelihood that our other product candidates will experience similar failures.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products in development, only a small percentage successfully complete the FDA or comparable foreign regulatory authorities’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eventually complete clinical testing and receive approval of a marketing application for our product candidates, the FDA or the comparable foreign regulatory authorities may grant approval contingent on the performance of costly additional clinical trials, including post-market clinical trials. The FDA or the comparable foreign regulatory authorities also may approve a product candidate for a more limited indication or patient population than we originally request, and the FDA or comparable foreign regulatory authorities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adversely impact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legislation, and/or regulations and policies adopted by the FDA, the EMA, or comparable regulatory authorities, may increase the time and cost required for us to conduct and complete clinical trials of our current in-development products or other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established regulations to govern the drug development and approval process, as have foreign regulatory authorities. The policies of the FDA and other regulatory authorities may change and additional laws may be enacted or government regulations may be promulgated that could prevent, limit, delay, or alternatively accelerate regulatory review of our current in-development products or other future product candidates. Further,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are based on novel technologies, which make it difficult to predict the timing, results and cost of product candidate development and likelihood of obtaining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succeeded and may not succeed in demonstrating efficacy and safety for any product candidates in clinical trials or in obtaining marketing approval thereafter and use of our 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our drug therapies and initiate clinical trials of our additional drug therapies,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Should we observe SAEs in our clinical trials or identify other undesirable side effects or other unexpected findings depending on their severity, our trials could be delayed or even stopped, and our development programs may be halted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product candidates initially show promise in early clinical trials, the side effects of drug therapies are frequently only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drug therapy or another factor, especially in oncology subjects who may suffer from other medical conditions and be taking other medications. If serious adverse or unexpected side effects are identified during development or after approval and are determined to be attributed to our product candidate, we may be required to develop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product candidates receives marketing approval, and we or others later identify undesirable side effects or ADA caused by such products,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suspend, withdraw or limit approvals of such product, or seek an injunction against its manufacture or distribution;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is administered or conduct additional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 our reputation may suffer;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the product from the marketplace;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fines, 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If these third parties do not successfully carry out their contractual duties, comply with regulatory requirements or meet expected deadlines, we may not be able to obtain marketing approval for or commercialize our current or future product candidates we develop and our business could be materially harmed. Consequently, we may be unable to successfully and efficiently execute and complete clinical trials that are required for biologics license application, or BLA submission and FDA approval of our current or future product candidates. We may require more time and incur greater costs than our competitors and may not succeed in obtaining regulatory approvals of product candidates that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our ability to advance our current and future product candidates through clinical trials, obtain marketing approval and ultimately commercialize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early in our development efforts. Most of our product candidates are not yet in clinical trials. Our ability to generate product revenues, which we do not expect will occur for several years, if ever, will depend heavily on the successful development and eventual commercialization of our current product candidates and any other current or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manufacturing supply for both preclinical and clinical development and commercial production, building of a commercial organization and substantial investment and significant marketing efforts before we generate any revenues from product sales.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and commercial success of our current and future product candidates will depend on several factors, including the following: timely and successful completion of preclinical studies and our clinical trials; sufficiency of our financial and other resources to complete the necessary preclinical studies and clinical trials; our plans to successfully submit IND applications with the FDA for our current and future product candidates; our ability to complete preclinical studies for current or future product candidates; successful enrollment in, including maintaining or reaching target enrollment levels during the COVID-19 pandemic, and completion of clinical trials; successful data from our clinical program that supports an acceptable risk-benefit profile of our product candidates in the intended patient populations; our ability to establish agreements with third-party manufacturers on a timely and cost efficient manner; whether we are required by the FDA or comparable foreign regulatory authorities to conduct additional clinical trials or other studies beyond those planned or anticipated to support approval of our product candidates; acceptance of our proposed indications and the primary endpoint assessments evaluated in the clinical trials of our product candidates by the FDA and comparable foreign regulatory authorities; receipt and maintenance of timely marketing approvals from applicable regulatory authorities; successfully launching commercial sales of our product candidates, if approved; the prevalence, duration and severity of potential side effects or other safety issues experienced with our product candidates, if approved; entry into collaborations to further the development of our product candidates; obtaining and maintaining patent and trade secret protection or regulatory exclusivity for our product candidates; acceptance of the benefits and uses of our product candidates, if approved, by patients, the medical community and third-party payors; maintaining a continued acceptable safety, tolerability and efficacy profile of the product candidates following approval; 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 competing effectively with other therapies; obtaining and maintaining healthcare coverage and adequate reimbursement from third-party payors; and enforcing and defending intellectual property rights and claims. There are multiple risks associated with developing companion diagnostics to ENV 105, ENV 205, and KROS 301 and there is no guarantee that these companion diagnostics will be approved by the FDA or comparable foreign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any of our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topline and preliminary data from our clinical trials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interim or topline data from our preclinical studies and clinical trials, which is based on a preliminary analysis of then-available data, and the results and related findings and conclusions are subject to change as patient enrollment and treatment continues and more patient data become available.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future business disruption and related risks resulting from pandemic, epidemic or outbreak of an infectious disease, any of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drug candidates could be disrupted and materially adversely affected in the future by a pandemic, epidemic or outbreak of an infectious disease like the outbreak of COVID-19. The spread of an infectious disease may result in the inability of our suppliers to deliver components or raw materials on a timely basis or materially and adversely affect our collaborators and out-license partners’ ability to perform preclinical studies and clinical trials. In addition, hospitals may reduce staffing and reduce or postpone certain treatments in response to the spread of an infectious disease. Such events may result in a period of business and manufacturing disruption, and in reduced operations, any of which could materially affect our business, financial condition and results of operations. The extent to which the coronavirus impacts our business will depend on future developments, which are highly uncertain and cannot be predicted, including new information which may emerge concerning the severity of the coronavirus and the actions to contain the coronavirus or treat its impact,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must prioritize our research programs and will need to focus our discovery and development on select product candidates and 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identify or discover additional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programs may initially show promise in identifying potential product candidates, yet fail to yield product candidates for clinical development for a number of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design such product candidates with the properties that we desire;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be products that will receive marketing approval and achieve market acceptance.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identify new product candidates require substantial technical, financial and human resources. If we are unable to identify suitable additional candidates for preclinical and clinical development, our opportunities to successfully develop and commercialize therapeutic products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comparable foreign authorities are lengthy, time consuming, expensive, and inherently unpredictable, and if we are ultimately unable to obtain regulatory approval for our drug therapy candidates, our business will be substantially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candidate’s clinical development and may vary among jurisdictions. We have not obtained regulatory approval for any product candidate and it is possible that we will never obtain regulatory approval for any of our drug therapy candidates. We are not permitted to market any of our product candidates in the United States until we receive regulatory approval of a NDA from the FDA. Our ability to obtain approval by the FDA or other regulatory authorities can be adversely impacted for various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candidate is safe and effective for its proposed indication;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experienced by participants in our clinical trials or by individuals using drugs similar to our candidates, or other products containing the active ingredient in our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ambiguous results from our clinical trials or results that may not meet the level of statistical significance required by the FDA or comparable foreign regulatory authorities for approval;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candidate’s clinical and other benefits outweigh its safety risks;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development candidates may not be acceptable or sufficient to support the submission of an NDA or other submission or to obtain regulatory approval in the United States or elsewhere, and we may be required to conduct additional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authorities may disagree regarding the formulation, labeling and/or the specifications of our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or find deficiencies with the manufacturing processes or facilities of third-party manufacturers with which we contract for clinical and commercial supplies;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inspect and find deficiencies at the clinical trial sites we use to conduct our clinical studies;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approval to commercialize a candidate in the United States or abroad, we must demonstrate with substantial evidence from well-controlled clinical trials, and to the satisfaction of the FDA or foreign regulatory agencies, that such candidates are safe and effective for their intended uses. Results from preclinical studies and clinical trials can be interpreted in different ways. Even if we believe the preclinical or clinical data for our candidates are promising, such data may not be sufficient to support approval by the FDA and other regulatory authorities. A single-study approach is permissible in certain circumstances, particularly in oncology, but such circumstances are exceptional and FDA may not agree with that proposed approach, and thus we may be required to conduct two phase 3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any foreign regulatory bodies can delay, limit or deny approval of our candidates or require us to conduct additional preclinical or clinical testing or abandon a program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adequacy of the design or implementation of our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safety interpretation of our drug;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efficacy interpretation of our drug;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regard our CMC package as inadequate, and more particularly: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NDA does not include adequate tests by all methods reasonably applicable to show whether or not such drug is safe for use under the conditions prescribed, recommended, or suggested in the proposed labeling thereof;</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results of such tests show that such drug is unsafe for use under such conditions or do not show that such drug is safe for use under such conditions;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methods used in, and the facilities and controls used for, the manufacture, processing, and packing of such drug are inadequate to preserve its identity, strength, quality, and purity;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determines that it has insufficient information to determine whether such drug is safe for use under such conditions;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based on information we submit and any other information before the FDA, the FDA determines there is a lack of substantial evidence that the drug will have the effect it purports or is represented to have under the conditions of use prescribed, recommended, or suggested in the proposed labeling thereof;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determines that our labeling is false or misleading in any particular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drugs that enter clinical development, only a small percentage successfully complete the regulatory approval processes and are approved and commercialized. This lengthy approval process, as well as the unpredictability of future clinical trial results, may result in our failing to obtain regulatory approval to market of any of our drug therapy candidates, which would significantly harm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 or an applicable foreign regulatory agency also may approve a product candidate for a more limited indication or patient population than we originally requested, the FDA or foreign regulatory agency may approve a product candidate with a label that does not include the labeling claims necessary or desirable for the successful commercialization of that product candidate, or may require warnings, other safety-related labeling information, or impose post-market safety requirements, including distribution restrictions, that negatively impact the commercial potential of the drug. Any of the foregoing scenarios could materially harm the commercial prospects for our product candidates.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Enrollment and retention of patients in clinical trials is an expensive and time-consuming process and could be made more difficult or rendered impossible by multiple factors outside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Patient enrollment and retention in clinical trials depends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 required for analysis of the trial’s primary endpoints;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trial protocol;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body of safety and efficacy data with respect to the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clinical sites;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drugs that may be approved for the indications we are investigating;</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being conducted by other companies or institutions;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patient consents;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enrollment and completion of studies due to any pandemic, epidemic or outbreak of an infectious disease.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preclinical studies, early clinical trials or analyses may not be indicative of results obtained in later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early clinical trials or analyses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trials. In addition, conclusions based on promising data from analyses of clinical results may be shown to be incorrect when implemented in prospective clinical trials. Even if our clinical trials for our drug therapy candidates are completed as planned, we cannot be certain that their results will support the safety and efficacy sufficient to obtain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or undesirable side effects caused by any of our drug therapy candidates could cause us or regulatory authorities to interrupt, delay or halt clinical trials and could result in a more restrictive label or the delay or denial of regulatory approval by the FDA or other comparable foreign authorities. Results of any clinical trial we conduct could reveal a high and unacceptable severity and prevalence of side effects or unexpected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unacceptable side effects arise in the development of our candidates, we, the FDA or the IRBs at the institutions in which our studies are conducted, or the DSMB, if constituted for our clinical trials, could recommend a suspension or termination of our clinical trials, or the FDA or comparable foreign regulatory authorities could order us to cease further development of or deny approval of a product candidate for any or all targeted indications. In addition, drug-related side effects could affect patient recruitment or the ability of enrolled patients to complete a trial or result in potential product liability claims. In addition, these side effects may not be appropriately recognized or managed by the treating medical staff. We expect to have to train medical personnel using our development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one or more of our product candidates receives marketing approval, and we or others later identify undesirable side effects caused by such products,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the particular product or the manufacturing processes for the product or any component thereof;</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a Risk Evaluation and Mitigation Strategy, or REMS, or create a medication guide outlining the risks of such side effects for distribution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a product candidate, if approved, and could significantly harm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opportunities for any current or future product candidate we develop, if approved, may be limited to those patients who are ineligible for established therapies or for whom prior therapies have failed, and may be small.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therapies are sometimes characterized as first-line, second-line or third-line, and the FDA often approves new therapies initially only for third-line use. Second- and third-line therapies are administered to patients when prior therapy is not effective. The number of patients who receive second- and third-line treatment is significantly smaller than the number of patients who receive first-line treatment. We may initially seek approval for our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have the types of cancer or autoimmune diseases we are targeting may turn out to be lower than expected.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obtained marketing approval for a drug therapy candidate and we may be unable to obtain, or may be delayed in obtaining, marketing approval for any of our development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obtained marketing approval for a product candidate. It is possible that the FDA may refuse to accept for substantive review any NDAs that we submit for our development candidates or may conclude after review of our data that our application is insufficient to obtain marketing approval of our development candidates. If the FDA does not accept or approve our NDAs for our development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obtaining, or an inability to obtain, marketing approvals would prevent us from commercializing our development candidates, generating revenues and achieving and sustaining profitability. If any of these outcomes occur, we may be forced to abandon our development efforts for our product candidates, which could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FDA approval for any of our drug therapy candidates in the United States, we may never obtain approval for or commercialize them in any other jurisdiction, which would limit our ability to realize their full global market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regulatory approval for any development candidate, we will still face extensive and ongoing regulatory requirements and obligations and any development candidates, if approved, may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other federal and state agencies, including the U.S. Department of Justice, or the DOJ,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The FDA and DOJ impose stringent restrictions on manufacturers’ communications regarding off-label use and if we do not market our current in-development products or our future product candidates for their approved indications, we may be subject to enforcement action for off-label marketing.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Good Clinical Practice, or GCP, requirements for any clinical trials that we conduct post-approval.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uses beyond their approved indications, we may be subject to enforcement action for off-label marketing.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later discovery of previously unknown adverse events or other problems with our products, manufacturers or manufacturing processes or failure to comply with regulatory requirements, may yield various results, including:</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shd w:fill="FFFFFF" w:val="clear"/>
        <w:tblLayout w:type="fixed"/>
        <w:tblCellMar>
          <w:top w:w="0" w:type="dxa"/>
          <w:left w:w="0" w:type="dxa"/>
          <w:bottom w:w="0" w:type="dxa"/>
          <w:right w:w="0" w:type="dxa"/>
        </w:tblCellMar>
      </w:tblPr>
      <w:tblGrid>
        <w:gridCol w:w="185"/>
        <w:gridCol w:w="7895"/>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patients taking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such products, manufacturers, or manufacturing processes;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distribution or use;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relationships with any potential collaborators;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press coverage and damage to our reputation;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We also cannot predict the likelihood, nature or extent of government regulation that may arise from future legislation or administrative or executive action, either in the United States or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marketing approvals for our current in-development products or any future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marketing approval of any of our current in-development products or any future product candidates is granted, an approved product and its manufacturer and marketer are subject to ongoing review and extensive regulation, including the potential requirements to implement a risk evaluation and mitigation strategy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assuming we receive marketing approval for one or more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 candidates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 Non-compliance with EU requirements regarding safety monitoring or pharmacovigilance, and with requirements related to the development of products for the pediatric population, also can result in significant financial penalties. Similarly, failure to comply with the EU’s requirements regarding the protection of personal information can also lead to significant penalties and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a Breakthrough Therapy designation for one of our drug therapy candidates from the FDA. However, we might not seek such designation or be granted the designation by the FDA if sought, and even if we are granted the designation, it may not lead to a faster development or regulatory review or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 Breakthrough Therapy designation for one or more of our drug therapy candidates.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For purposes of Breakthrough Therapy designation, clinically significant endpoint generally refers to an endpoint that measures an effect on irreversible morbidity or mortality (IMM) or on symptoms that represent serious consequences of the disease. A clinically significant endpoint can also refer to findings that suggest an effect on IMM or serious symptoms.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fast-track designation (under a separate request), priority review, or accelerated approval, if supported by clinical data at the time the NDA is submitted to the FDA. FDA encourages a Breakthrough Therapy designation request to be submitted, and received by FDA, no later than the end-of-phase-2 meetings. Even if granted, accelerated approval status does not guarantee an accelerated review or marketing approval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as a Breakthrough Therapy is within the discretion of the FDA both at the time of the submission of such a request, and during FDA’s review of the drug and supporting data. Even if we believe that one of our candidates meets the criteria for designation as a Breakthrough Therapy, the FDA may disagree and instead determine not to make such designation or may grant such a designation and subsequently rescind the designation prior to approval. Even if we receive and maintain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Commercialization of Our Current In-Development Products and Our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current in-development products or any of our future product candidates receives marketing approval, it may fail to achieve the degree of market acceptance by physicians, patients, third-party payors, and others in the medical community necessary for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approvals from the FDA, the EMA, the PMDA, the TGA, or other comparable regulatory agencies and are able to initiate commercialization of our current in-development products or any future product candidates we develop, the product candidate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size of any product candidate that obtains regulatory approval is significantly smaller than we anticipate, it may not achieve market acceptance or commercial success. This could significantly and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sales, marketing, and distribution capabilities for our current in-development products or our future product candidates, or enter into sales, marketing, and distribution agreements with third parties, we may not be successful in commercializing our product candidates, if and when they are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sales or marketing infrastructure and have limited experience in the sale, marketing, or distribution of pharmaceutical products. To achieve commercial success for any product candidate for which we may obtain marketing approval, we will need to establish a sales and marketing organization or enter into collaboration, distribution, and other marketing arrangements with one or more third parties to commercialize such product candidate. In the United States, we intend to build a commercial organization to target areas with the greatest incidence of treatments for cancers and other indications to which our drugs and therapies are targeted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inhibit our efforts to commercialize our drugs on our own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train, and retain adequate numbers of effective sales and marketing personnel;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persuade adequate numbers of physicians to prescribe any future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compared to companies with more extensive product lines;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limitations with regard to setting up a distribution network.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our own sales, marketing, and distribution capabilities in the United States and other jurisdictions in which our current in-development products or any future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adequate reimbursement may not be available for any of our in-development products or any future product candidates, which could make it difficult for us to sell profitably,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any of our current in-development products and any future product candidates that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develop any required companion diagnostic tests for our product candidates, experience significant delays in doing so, or rely on third parties in the development of such companion diagnostic tests, we may be unable to realize the full commercial potential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strive to develop companion biomarkers for all drugs in our portfolio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if any, we may be forced to abandon any of our companion diagnostic development plans or we may not be able to compete effectively upon approval, which could adversely impact our ability to generate revenue from the sale of our to be approved products, if any, and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lawsuits against us could cause us to incur substantial liabilities and to limit commercialization of any products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any of our drug therapy candidates we may develop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product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shd w:fill="FFFFFF" w:val="clear"/>
        <w:tblLayout w:type="fixed"/>
        <w:tblCellMar>
          <w:top w:w="0" w:type="dxa"/>
          <w:left w:w="0" w:type="dxa"/>
          <w:bottom w:w="0" w:type="dxa"/>
          <w:right w:w="0" w:type="dxa"/>
        </w:tblCellMar>
      </w:tblPr>
      <w:tblGrid>
        <w:gridCol w:w="185"/>
        <w:gridCol w:w="641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business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and significant negative media attention;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participants from our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litigation;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commercialize THIO or any other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market demand for any product;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liability insurance coverage carry may not be sufficient to reimburse us for any expenses or losses we may suffer. We intend to acquire insurance coverage to include larger clinical studies, different countries and the potential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the results of our operations and business, including preventing or limiting the commercialization of any product candidates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$5 million in global product liability insurance coverage with a per incident limit of $5 million annually, which may not be adequate to cover all liabilities that we may incur.  We may need to increase our insurance coverage as we expand our clinical trials or if we commence commercialization of any product candidates. Insurance coverage is increasingly expensive. We may not be able to obtain or maintain insurance coverage at a reasonable cost or in an amount adequate to satisfy any liability that may arise, if at all. Product liability insurance policies contain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a variety of risks associated with marketing our current in-development products or any future product candidates internationally, which could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regulatory approvals for ENV 105 and/or any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regulatory requirements and reimbursement landscapes in foreign countries;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so-called parallel importing, which is what happens when a local seller, faced with high or higher local prices, opts to import goods from a foreign market with low or lower prices rather than buying them locally;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price and exchange controls, and other regulatory requirements;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withholding of payroll taxes;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staffing and managing foreign operations;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under the U.S. Foreign Corrupt Practices Act of 1977, as amended, or the FCPA, or comparable foreign regulations;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enforcing our contractual and intellectual property rights, especially in those foreign countries that do not respect and protect intellectual property rights to the same extent as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associated with our international operations may compromise our ability to achieve or maintain profitability.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Dependence on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independent contractors, including principal investigators, clinical trial sites, contract research organizations, or CROs, consultants, vendors, and any third parties we may engage in connection with development and commercialization, may engage in misconduct or other improper activities, including noncompliance with regulatory standards and requirements,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and independent contractors, including principal investigators, clinical trial sites, consultants, vendors and any third parties we may engage in connection with development and commercialization of our product candidates, could engage in misconduct, including intentional, reckless or negligent conduct or unauthorized activities that violate: the laws and regulations of the FDA or other similar regulatory requirements of other authorities, including those laws that require the reporting of true, complete and accurate information to such authorities; manufacturing standards; data privacy, security, fraud and abuse and other healthcare laws and regulations;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single-sourced third parties to conduct the preclinical and nonclinical studies, clinical trials, and manufacture of our clinical trial material for our current in-development products and our future product candidates, and those third parties may not perform satisfactorily, including failing to meet deadlines for the completion of such studies, trials, and manufacturing services or failing to comply with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contract research organizations, or CROs, to conduct our ongoing and planned preclinical and nonclinical studies, clinical trials and manufacture of our clinical trial material. We also expect to engage CROs for any of our other future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or the ICH. We are also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current in-development products and our future product candidates and will not be able to, or may be delayed in our efforts to, successfully commercialize such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New Drug Application, or NDA, we submit. Any such delay or rejection could prevent us from commercializing our current in-development products or any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rely on third-party contract manufacturing organizations, or CMOs, for the production of clinical supply of our drug therapy candidates and intend to rely on CMOs for the production of commercial supply our drug therapies, if approved. Our dependence on CMOs may impair the development and commercialization of the drug, which would adversely impact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personnel with experience in manufacturing, and we do not own facilities for manufacturing. Instead, we rely on and expect to continue to rely on CMOs for the supply of cGMP grade clinical trial materials and commercial quantities of any candidates we develop, if approved. Reliance on CMOs may expose us to more risk than if we were to manufacture our product candidates ourselves. We intend to have manufactured a sufficient clinical supply of our drug therapy substances to enable us to complete our clinical trials, and we have also engaged a CMO to provide clinical and commercial supply of the drug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used to manufacture our product candidates must be inspected by the FDA and comparable foreign authorities. While we provide oversight of manufacturing activities, we do not and will not control the execution of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If the FDA or comparable foreign regulatory authority finds deficiencies with or does not approve these facilities for the manufacture of our product candidates or if it withdraws any such approval or finds deficiencies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manufacture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If we were unable to find an adequate CMO or another acceptable solution in time, our clinical trials could be delayed, or our commercial activities could be harmed.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performance failure or regulatory noncompliance on the part of CMOs could delay clinical development or marketing approval of our current in-development products or any future product candidates or commercialization of such product candidates, resulting in additional losses, and depriving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We currently rely on third parties, such as Fisher Clinical Services for drug supply and drug product manufacture of our current product candidate, and our strategy is to continue to outsource all manufacturing of our product candidates and approved products, if any,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future plans include the identifying, qualifying, and contracting with a U.S. manufacturing site to manufacture ENV 105, assuming we have adequate financial resources to pursue contingency manufacturing plans.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agreements with third-party manufacturers for the long-term commercial supply of our current in-development products or any of our future product candidates. In the future, we may be unable to enter into agreements with third-party manufacturers for commercial supplies of such product candidates or may be unable to do so on acceptable terms.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establish and maintain arrangements with third-party manufacturers, reliance on third-party manufacturers entails risks, including:</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shd w:fill="FFFFFF" w:val="clear"/>
        <w:tblLayout w:type="fixed"/>
        <w:tblCellMar>
          <w:top w:w="0" w:type="dxa"/>
          <w:left w:w="0" w:type="dxa"/>
          <w:bottom w:w="0" w:type="dxa"/>
          <w:right w:w="0" w:type="dxa"/>
        </w:tblCellMar>
      </w:tblPr>
      <w:tblGrid>
        <w:gridCol w:w="185"/>
        <w:gridCol w:w="974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the third party for regulatory compliance and quality assurance;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the manufacturing agreement by the third party;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misappropriation of our proprietary information, including our trade secrets and know-how;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may not be able to comply with current Good Manufacturing Practice, or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in-development products and our future products and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current in-development products or any future product candidates or the substances used to manufacture them, it will be more difficult for us to develop such product candidates and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continue to rely on third parties to conduct, supervise and monitor our clinical trials. If those third parties do not successfully carry out their contractual duties, or if they perform in an unsatisfactory manner, it may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will continue to rely, on CROs, CRO-contracted vendors and clinical trial sites to ensure the proper and timely conduct of our clinical trials, including our Phase 2 trials. Our reliance on CROs for clinical development activities limits our control over these activities, but we remain responsible for ensuring that each of our trials is conducted in accordance with the applicable protocol and legal, regulatory and scientific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will be required to comply with the good laboratory practice requirements for our preclinical studies and GCP requirements for our clinical trials, which are regulations and guidelines enforced by the FDA and are also required by comparable foreign regulatory authorities.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Accordingly, if our CROs fail to comply with these requirements, we may be required to repeat clinical trials, which would delay the regulatory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CROs are not our employees, and we do not control whether or not they devote sufficient time and resources to our clinical trials. Our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relationship with any CROs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and type of our collaborations could adversely affect our attractiveness to future collaborators or acquirers and the loss of, or a disruption in our relationship with, any one or more collaborators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product candidates could be delayed, and we may need additional resources to develop additional product candidates. All of the risks relating to product development, regulatory approval and commercialization described in this Annual Report also apply to the activities of any collaborators and there can be no assurance that our collaborations will produce positive results or successful products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its contractual obligations to us, if one of our collaborators is involved in a business combination or otherwise changes its business priorities, the collaborator might deemphasize or terminate the development or commercialization of our product candidates. If a collaborator terminates its agreement with us, we may find it more difficult to attract new collaborators and the perception of our business and our stock price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relying exclusively on the skills and expertise of our management team in conducting our business, not all of whom will devote all of their time to managing the Company, and we currently only have one full-time employee, which may impede our ability to carry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relying exclusively on the skills and expertise of our management team in conducting our business. Not all of our management team presently devotes all of their time to managing the Company. While our Chief Financial Officer serves on a full-time basis, we have no other full-time employees, which may impede our ability to carry on our business. The lack of full-time employees among our officers may very well prevent the Company’s operations from being efficient, and may impair the business progress and growth, which is a risk to any investor. Our lack of full-time management may be an impediment to our business development. Without full-time officers, aside from our Chief Financial Officer, we may not have sufficient time and effort devoted to our commercialization efforts, or efforts to find and raise additional capital, or manage our business, which could impair our ability to succeed in our business plan and could cause investment in our Company to lose value.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with a small team and our future success depends on our ability to retain key executives and to attract, retain, and motivate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our key officers and employees and to attract, retain and motivate highly qualified management and scientific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limited personnel. As of the date of this Annual Report, we had three part-time employees, including our Chief Executive officer, and our Chief Financial Officer was our only full-time employee. We are highly dependent on the management, research and development, clinical, financial and business development expertise of Dr. Yu and Dr. Bhowmick. Each of them may currently terminate their employments with us at any time. We do not maintain “key person” insurance for any of our executives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attract, hire and retain qualified officers and employees to achieve the Company’s objectives. Recruiting and retaining qualified scientific personnel and sales and marketing personnel will be critical to our success. We may not be able to attract and retain these personnel on acceptable terms given the competition among pharmaceutical, biotechnology and diagnostic companies for similar personnel. Furthermore, current officers or employees may decide to leave the Company, and current or former officers or employees may decide to sue the Company for owed but unpaid compensation. The loss of any of these persons’ expertise would be difficult to replace and could have a material adverse effect on our ability to achieve our business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any of our current in-development products or any future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substantial competition from large, well-funded, and experienced competitors, which may result in others discovering, developing or commercializing products before or more successfully than we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and biotechnology industries are characterized by rapidly advancing technologies, intense competition, and a strong emphasis on proprietary products. The immuno-oncology segment of the industry is in particular highly competitive. We face potential competition from many different sources, including major pharmaceutical, specialty pharmaceutical, and biotechnology companies, academic institutions and governmental agencies, and public and private research institutions. Regardless of the degree of success in development of our technology, the Company faces competition from much larger enterprises and different technologies, disadvantages inherent in attempting to negotiate licensing or other transactions with companies with vastly larger financial, scientific and other resources, lack of management experienced in commercial business operations, reliance on contract laboratories and other third party service providers, lack of financial and other resources, challenges to the validity of intellectual property, potential product liabilities, and regulatory risks including product and reimbursement permits and regulations. Many of our competitors and potential competitors have substantially greater financial, technological, managerial and research and development resources and experience than we do. We are aware of other products under development, which, if successfully developed and commercialized, would compete with our products. We may be unable to keep pace with the rapid technological changes in the biotechnology/medical device industry and as a result, our technologies may become obsolete. Smaller or early-stage companies may also prove to be significant competitors, particularly through collaborative arrangements with large and established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medicines.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related to the accounting for certain non-routine or complex transactions, including the proper application of U.S. GAAP to such transactions.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over information technology, or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our material weaknesses, we are in the process of implementing measures designed to improve our internal control over financial reporting and remediate the control deficiencies that led to the material weaknesses. These measures include (i) the ongoing hiring of additional accounting personnel; (ii), initiating design and implementation of our financial control environment, including the establishment of formal accounting policies and procedures, financial reporting controls and controls to account for and disclose complex transactions; and (iii) initiating and designing IT controls to insure appropriate and restricted access to our accounting applications, programs,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We cannot assure you that there will not be future material weaknesses in our internal control over financial reporting in the future. Any failure to maintain internal control over financial reporting could severely inhibit our ability to accurately report our financial condition, results of operations, or cash flows. If we fail to remediate our identified material weaknesses, or identify additional material weaknesses, in our internal control over financial reporting investors may lose confidence in the accuracy and completeness of our financial reports, the market price of our common stock could decline, and we could be subject to sanctions or investigations by the exchange we are listed on, the NYSE American, the Securities and Exchange Commission, or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expand our research, development, and business capabilities and potentially implement sales, marketing, and distribution capabilities, and as a result, we may encounter difficulties in managing our growth, which could disrupt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clinical development of our current in-development products and any of our future product candidates progresses, we also expect to experience significant growth in the number of our employees and the scope of our operations, particularly in the areas of research, drug development, regulatory affairs and, if any of our current in-development products or any future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research and development resources. Any inability to manage growth could delay the execution of our business plans or disrupt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shd w:fill="FFFFFF" w:val="clear"/>
        <w:tblLayout w:type="fixed"/>
        <w:tblCellMar>
          <w:top w:w="0" w:type="dxa"/>
          <w:left w:w="0" w:type="dxa"/>
          <w:bottom w:w="0" w:type="dxa"/>
          <w:right w:w="0" w:type="dxa"/>
        </w:tblCellMar>
      </w:tblPr>
      <w:tblGrid>
        <w:gridCol w:w="185"/>
        <w:gridCol w:w="5495"/>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drug products of an acquired company, including difficulties associated with integrating new personnel;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drug programs and initiatives in pursuing such a strategic partnership, merger, or acquisition;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drugs or drug candidates and regulatory approvals;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drugs sufficient to meet our objectives in undertaking the acquisition or even to offset the associated acquisition and maintenance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exclusive licensing rights to our intellectual property are subject to agreements with third parties and we may not meet milestones set forth in those agreements; our exclusive licensing rights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Cedars-Sinai Medical Center and Tracon Pharmaceuticals, Inc., which were originally between each of Cedars-Sinai and Tracon and our subsidiary, Enviro Therapeutics, Inc., and which were assumed by the Company effective April 17, 2025 pursuant to a novation agreement, are contingent on our ability to make payments and meet commercialization goals, which we may not be able to meet based on innumerable factors. If we do not make such payments or meet such milestones, our exclusive licensing rights to our intellectual property may be terminated. Even if we meet certain milestones, we may not be able to make the required payments, which may cause us to breach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patent and other intellectual property protection for our technology, or for any our current in-development products or our future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issued patents and we in-license patents and patent applications for ENV 105, our lead drug compounds, and our success depends in large part on our ability to obtain and maintain patent protection in the United States and other countries with respect to ENV 105 and any of our future product candidates. We seek to protect our proprietary position by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or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aware of all third-party intellectual property rights potentially relating to our current in-development products or our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or USPTO, or become involved in opposition, derivation, reexamination,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invalid and/or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computer systems, or those of our CROs or other contractors or consultants, may fail or suffer security breaches, which could result in a material disruption of our product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cyber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example, the loss of preclinical data or data from any future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proprietary information, or that of our customers, suppliers and business partners, may be lost or we may suffer security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including intellectual property, clinical trial data, our proprietary business information and that of our customers, suppliers and business partners, and personally identifiable information of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 or the networks of our CROs or other third-party service providers,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our products and our ability to conduct clinical trials, which could adversely affect our business and reputation and lead to delays in gaining regulatory approvals for our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rights to develop and commercialize our technology, our current in-development products, and our other future product candidates are subject, in large part, to the terms and conditions of licenses granted to us by others, such as Cedars-Sinai Medical Center and Tracon Pharmaceuticals, Inc.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reliant upon licenses to certain patent rights and other intellectual property that are important or necessary to the development of our current in-development products or our future product candidates. For example, we depend on license agreements from Cedars-Sinai Medical Center and Tracon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Cedars-Sinai and Tracon have relied upon, and any future licensors may have relied upon, third-party companies, consultants or collaborators, or on funds from third parties such that our licensors are not the sole and exclusive owners of the patents we in-licensed. We have sublicensed certain patents from Cedars-Sinai and Tracon. If third-party institutions such as Cedars-Sinai or Tracon fail to prosecute, maintain, enforce, and defend such patents, or lose rights to those patents, the rights we have licensed may be reduced or eliminated, and our right to develop and commercialize our current in-development products or our other future product candidates that are the subject of such licensed rights could be adversely affected. Further development and commercialization of ENV 105, and development of any future product candidates may, require us to enter into additional license or collaboration agreements. For example, our licensors or other third parties may develop intellectual property covering ENV 105 which we have not licensed.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current in-development products or our future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 agreements with Cedars-Sinai and Tracon, and other intellectual property-related agreements we may enter into in the future may impose diligence and other obligations, including payment of milestones and royalties. For example, our license agreement from Cedars requires us to satisfy diligence requirements, including using commercially reasonable efforts to develop and commercialize products. If we fail to comply with our obligations to our present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spite of our efforts, Cedars-Sinai, Tracon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license agreements with Cedars-Sinai and Tracon, and any future license agreements, disputes may arise regarding intellectual property subject to a licensing agreement,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under our collaborative development relationships;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necessary rights to any product candidates we may develop through acquisitions and in-licenses.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rights to intellectual property, through licenses from third parties, to identify and develop product candidates. We may find it necessary or prudent to obtain licenses from such third-party intellectual property holders in order to avoid infringing these third-party patents. For example, many pharmaceutical companies, biotechnology companies, and academic institutions compete with us and may be filing patent applications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owned or in-licensed patents or other intellectual property, which could be expensive, time-consuming, and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Competitors or other third parties may infringe, misappropriate or otherwise violate our in-licensed issued patents or our other intellectual property we may own. To counter such infringement, misappropriation,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In addition, our in-licensed patents may become involved in inventorship or priority disputes. Third parties may raise challenges to the validity of certain of our or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or PGR,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current in-development products or our other future product candidates and compete directly with us, without payment to us, or result in our inability to manufacture or commercialize products without infringing third-party patent rights In a patent infringement proceeding, there is a risk that a court will decide that a patent we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in-licensed patents do not cover the invention. An adverse outcome in a litigation or proceeding involving our in-licensed patents could limit our ability to assert our in-licensed patents against those parties or other competitors and may curtail or preclude our ability to exclude third parties from making and selling similar or competitive products. Similarly, in the future, we expect to rely on trademarks to distinguish our current in-development products and any of our other future product candidates that are approved for marketing, and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ability to develop, manufacture, market, and sell our current in-development products or other future product candidates and use our proprietary chemistry technology without infringing, misappropriating or otherwise violating the intellectual property of third parties. Numerous third-party U.S. and non-U.S. issued patents exist in the area of cancer therapies and other therapies our drugs are targeted to treat.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have infringed, misappropriated, or otherwise violated any third party’s intellectual property rights, we could be forced, including by court order, to cease developing, manufacturing, or commercializing our current in-development products or other future product candidates. Alternatively, we may be required to obtain a license from such third party in order to use technology and continue developing, manufacturing or marketing product candidates that infringe or violate such third party’s intellectual property.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current in-development products or other future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could be compromised by disclosure during this type of litigation. During the court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may be subject to claims by third parties asserting that we or our employees, consultants, and advisors have misappropriated </w:t>
      </w:r>
      <w:r>
        <w:rPr>
          <w:rFonts w:ascii="Times New Roman;Times;Serif" w:hAnsi="Times New Roman;Times;Serif"/>
          <w:b w:val="false"/>
          <w:i w:val="false"/>
          <w:caps w:val="false"/>
          <w:smallCaps w:val="false"/>
          <w:sz w:val="20"/>
        </w:rPr>
        <w:t xml:space="preserve">their </w:t>
      </w:r>
      <w:r>
        <w:rPr>
          <w:rFonts w:ascii="Times New Roman;Times;Serif" w:hAnsi="Times New Roman;Times;Serif"/>
          <w:b/>
          <w:i/>
          <w:caps w:val="false"/>
          <w:smallCaps w:val="false"/>
          <w:sz w:val="20"/>
        </w:rPr>
        <w:t>intellectual property or claiming ownership of what we regard as our own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rights may not be self-executing and we may be forced to bring claims against third parties, or defend claims that they may bring against us, to determine the ownership of what we regard as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in prosecuting or defending any such claims, in addition to paying monetary damages, we may lose valuable intellectual property rights or personnel. A court could prohibit us from using technologies or features that are essential to our current in-development products or other future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Changes in U.S. patent law could diminish the value of patents in general, thereby impairing our ability to protect our </w:t>
      </w:r>
      <w:r>
        <w:rPr>
          <w:rFonts w:ascii="Times New Roman;Times;Serif" w:hAnsi="Times New Roman;Times;Serif"/>
          <w:b/>
          <w:i w:val="false"/>
          <w:caps w:val="false"/>
          <w:smallCaps w:val="false"/>
          <w:sz w:val="20"/>
        </w:rPr>
        <w:t>products</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other pharmaceutical companies, our success is heavily dependent on our intellectual property rights, and particularly on our in-licensed patent rights. Obtaining and enforcing patents in the pharmaceutical industry involves both technological and legal complexity, and is therefore costly, time consuming and inherently uncertain. In addition, the U.S. has recently enacted and is currently implementing wide-ranging patent reform legislation. Certain U.S. Supreme Court rulings have narrowed the scope of patent protection available in certain circumstances and weakened the rights of patent owners in certain situations. In addition to increasing uncertainty with regard to our ability to obtain rights to patents in the future, this combination of events has created uncertainty with respect to the value of patents once rights are obtained. Depending on decisions by the U.S. Congress, the federal courts and the USPTO, the laws and regulations governing patents could change in unpredictable ways that could further negatively impact the value of patent rights, narrow the scope of available patent protection or weaken the rights of patent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trademarks we may obtain may be infringed or successfully challenged, resulting in harm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proprietary name we propose to use with our current in-development products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proprietary information, know-how, and trade secrets, the value of our current in-development products or other future product candidates could be adversely affected, and our business and competitive position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 protection for our current in-development products or other future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licensors do not obtain patent term extension and data exclusivity for any product candidates we or our licensors may develop,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marketing approval of any of our product candidates, one or more of our in-licensed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annuity fees, and various other government fees on patents and applications will be due to be paid to the USPTO and various government patent agencies outside of the United States over the lifetime of our owned or in-licensed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current in-development products, our future product candidates, and our preclinical programs. Our in-licensed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in-licensed patents,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in-licensed patents at risk of being invalidated or interpreted narrowly and our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Healthcare Laws and Other Legal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successfully commercialize our current in-development products or one of our future product candidates, failure to comply with our reporting and payment obligations under U.S. governmental pricing programs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participate in the Medicaid Drug Rebate Program,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civil and criminal false claims laws, including the federal False Claims Act, which impose criminal and civil penalties, including through civil whistleblower or </w:t>
            </w:r>
            <w:r>
              <w:rPr>
                <w:rFonts w:ascii="Times New Roman;Times;Serif" w:hAnsi="Times New Roman;Times;Serif"/>
                <w:b w:val="false"/>
                <w:i/>
                <w:caps w:val="false"/>
                <w:smallCaps w:val="false"/>
                <w:sz w:val="20"/>
              </w:rPr>
              <w:t>qui tam</w:t>
            </w:r>
            <w:r>
              <w:rPr>
                <w:rFonts w:ascii="Times New Roman;Times;Serif" w:hAnsi="Times New Roman;Times;Serif"/>
                <w:b w:val="false"/>
                <w:i w:val="false"/>
                <w:caps w:val="false"/>
                <w:smallCaps w:val="false"/>
                <w:sz w:val="20"/>
              </w:rPr>
              <w:t xml:space="preserve">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created under Section 6002 of Patient Protection and Affordable Care Act, as amended by the Health Care and Education Reconciliation Act, or collectively, the ACA, and its implementing regulations, created annual reporting requirements for manufacturers of drugs, devices, biologicals, and medical supplies for certain payments and “transfers of value” provided to physicians (defined to include doctors, dentists, optometrists, podiatrists, and chiropractors) and teaching hospitals, as well as ownership and investment interests held by physicians and their immediate family members. As of January 1, 2022, these reporting obligations will extend to include transfers of value made in the previous year to certain non-physician providers such as physician assistants and nurse practitioners;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licensure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ACA, among other things, amended the intent requirement of the federal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legislative and enforcement interest in the United States with respect to specialty drug pricing practices. Specifically, there have been Congressional inquiries and proposed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healthcare policies, laws, and regulations may impact our ability to obtain approval for, or commercialize our current in-development products or our future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ACA is unconstitutional in its entirety because the “individual mandate” was repealed by Congress. Thus, the Affordable Care Act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Affordable Care Act will be subject to judicial or Congressional challenges in the future.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Further, based on a recent executive order, the Biden administration expressed its intent to pursue certain policy initiatives to reduce drug prices. We expect that additional U.S. federal healthcare reform measures will be adopted in the future, any of which could limit the amounts that the U.S. federal government will pay for healthcare products and services, which could result in reduced demand for our current in-development products or our future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privacy and data security laws, rules, regulations, policies, industry standards, and contractual obligations, and our failure to comply with them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large quantity of sensitive information, including confidential business information and information related to our employees and we expect to maintain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and any other applicable privacy and data security laws and regulations we may be subject to in the future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results of operations or prospects. Any failure by us or our third-party processors to comply with these data protection and privacy laws and regulations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of remediation, and adverse publicity, any of which could negatively affect our operating results and business.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prospects may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clinical trial programs we conduct or research collaborations we enter into in the European Economic Area may subject us to the General Data Protection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conduct clinical trial programs or enter into research collaborations in the European Economic Area, or EEA, we may be subject to the General Data Protection regulation, or GDPR. The GDPR applies extraterritorially and implements stringent operational requirements for processors and controllers of personal data, including, for example, high standards for obtaining consent from individuals to process their personal data, robust disclosures to individuals, a comprehensive individual data rights regime, data export restrictions governing transfers of data from the EEA/European Union, or EU, to other jurisdictions, short timelines for data breach notifications, limitations on retention of information, increased requirements pertaining to health data, other special categories of personal data and coded data and additional obligations if we contract third-party processors in connection with the processing of personal data. The United Kingdom has implemented its own version of the GDPR, which contains similar requirements. The GDPR provides that EU member states may establish their own laws and regulations limiting the processing of personal data, including genetic, biometric or health data, which could limit our ability to use and share personal data or could cause our costs to increase.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be subject to government price controls that may affect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state level, legislatures have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current in-development products or our future product candidates to other available therapies. If reimbursement of our product candidates is unavailable or limited in scope or amount, or if pricing is set at unsatisfactory levels,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third parties to sell our current in-development products or our future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will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(GLP) regulations, as appropriate. Moreover, the FDA and comparable foreign regulatory authorities require us to comply with standards, commonly referred to as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For example, the data generated in our trials may not have been appropriately collected or documented, and thereby be deemed unreliable and the FDA or comparable foreign regulatory authorities may conclude the study findings are not adequate and require us to perform additional studies.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one or more government-sponsored databases, e.g., ClinicalTrials.gov, within specified timeframes. Failure to do so can result in enforcement actions and adverse publicity.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rely on other third parties to store and distribute our product candidates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and may in the future enter into, certain collaboration agreements and strategic alliances to maximize the potential of our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 These transactions can entail numerous operational and financial risks, including exposure to unknown liabilities, disruption of our business and diversion of our management’s time and attention in order to manage a collaboration. We also cannot be certain that, following a strategic transaction or license, we will achieve the revenue or other anticipated benefits that led us to enter into the arrangement. Additionally,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establish future collaborations on commercially reasonable terms, we may have to alter our development and commercialization plans for one or more of our other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seeking appropriate additional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any future collaborations are not a guarantee of success, and all collaborations are as risky, or riskier, than undertaking the activities ourselves.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fail to make timely regulatory submissions for a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comply with all applicable regulatory requirements or may fail to report safety data in accordance with all applicable regulatory requirements, which could subject them or us to regulatory enforcement actions;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of our product candidates that achieve regulatory approval may not commit sufficient resources to the marketing and distribution of such product candidate or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of the risks relating to product development, regulatory approval and commercialization described in this Annual Report also apply to the activities of any of our current or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with biopharmaceutical companies and other third parties often are terminated or allowed to expire by the other party. Any such termination or expiration could adversely affect us financially and could harm our business reputation.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collaborations we have entered into or might enter into do not result in the successful development and commercialization of products or if one of our collaborators subsequently terminates its agreement with us, we may not receive any future research funding or milestone or royalty payments under such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the FDA and regulatory authorities outside the United States have and may adopt restrictions or other policy measures in response to the COVID-19 pandemic that divert resources and delay their attention to any submissions we may make.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we will be able to obtain FDA approval and, even if we do, there is no assurance that either we, or our collaboration partners, will be successful in commercializing any product candidate for which we receive regulatory approval, or experience significant delays in doing so, our business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FDA approval, there is no assurance that we, or our collaboration partners, will be successful in obtaining marketing approval from applicable regulatory authorities for ENV 105 or any other product candidate. Our ability to generate revenues from any such products will depend on our success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completing our Phase 1 and Phase 2 clinical trials and obtaining FDA approval for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such products, whether alone or in collaboration with others;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receiving approved labels with claims that are necessary or desirable for successful marketing, and that do not contain safety or other limitations that would impede our ability to market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market demand for such products through marketing, sales and promotion activities;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training, and deploying a sales force or contracting with third parties to commercialize such products in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partnerships with, or offering licenses to, third parties to promote and sell such products in foreign markets where we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such products in sufficient quantities and at acceptable quality and cost to meet commercial demand at launch and thereafter;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agreements with wholesalers, distributors, and group purchasing organizations on commercially reasonable terms;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patent and trade secret protection and regulatory exclusivity for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market acceptance of such products by patients, the medical community, and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coverage and adequate reimbursement from third-party payors for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patients’ willingness to pay out-of-pocket in the absence of such coverage and adequate reimbursement from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effectively with other therapies;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profile of such products following launch.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are not able to do any of the foregoing, our business, financial condition, results of operations, stock price and prospects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cancer resistance products and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of our product candidates may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 market. In addition, our ability to compete may be affected in many cases by third-party payors’ coverage and reimbursement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 commercial infrastructure for the marketing, sale, and distribution of any products that we may develop. If and when our product candidates receive marketing approval, we intend to commercialize our product candidates on our own or in collaboration with others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or alternatively decide to collaborate with third-party marketing and sales organizations to commercialize any approved product candidates,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are unable to develop a marketing and sales infrastructure, we may not be able to commercialize our product candidates, which could limit our ability to generate product revenues and materially harm our business, financial condition, results of operations, stock price and prospects. Factors that may inhibit our efforts to commercialize our product candidates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recruit, train, manage, and retain adequate numbers of effective sales and marketing personnel;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educate adequate numbers of physicians on the benefits of prescribing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effectively oversee a geographically dispersed sales and marketing team;</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training personnel, including sales and marketing personnel, on compliance matters and monitoring their actions;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coverage and adequate reimbursement by third-party payors, including government and private health plans;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unwillingness of patients to pay out-of-pocket in the absence of coverage and adequate reimbursement from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the products are approved and the claims that we may make for the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and use restrictions imposed by the FDA or comparable foreign regulatory authorities or to which we agree as part of a mandatory REMS or voluntary risk management plan;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our personnel, including sales or marketing personnel, who fail to comply with applicable law;</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relative to companies with more extensive product lines;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 or engaging a contract sales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our product, including in combination with other cancer therapies;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any cancer therapies with which our product may be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events associated with our product or those products with which it is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product is approved and the approved claims that we may make with respect to the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FDA-approved labeling of the product or the labeling approved by comparable foreign regulatory authorities, including potential limitations or warnings for our product that may be more restrictive than other competitive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for the targeted indications for our product, which could reduce the marketing impact of any claims that we could make following FDA approval or approval by comparable foreign regulatory authorities, if obtained;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and ease of administration of our product and any products with which it is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treatment compared with the economic and clinical benefit of alternative treatments or therapies;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coverage and adequate reimbursement by third-party payors, such as private insurance companies and government healthcare programs, including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have our product placed on approved formularies;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willingness to pay out-of-pocket in the absence of such coverage and adequate reimbursement from third-party payors;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concessions required by third-party payors to obtain coverage and adequate reimbursement;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marketing and distribution of our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efficacy, and other potential advantages over, and availability of, alternative treatments already used or that may later be approved;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use restrictions imposed by the FDA or comparable foreign regulatory authorities with respect to our product or to which we agree as part of a REMS or voluntary risk management plan;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 as well as competitive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our product for sale at competitive prices;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raw material supplier and service provider support;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of companies that market any products with which our product is co-administered;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other new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our product or any products with which it is co-administered, or favorable publicity about competitive products;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liability claims.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cancer resistance drugs is hard to estimate given that it is an emerging field. Our projections of both the number of people who have these diseases, as well as the subset of people with these diseases who have the potential to benefit from treatment with our product candidates, are based on estimates.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If any of the assumptions proves to be inaccurate, the actual markets for our product candidates could be smaller than our estimates of the potential market opportunities. Additionally, because of the potential that any product candidates we develop could cure a target disease, we may not receive recurring revenues from patients and may deplete the patient population prevalence through curative therapy.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federal and state healthcare laws, including fraud and abuse laws, we could face substantial penalties and our business, financial condition, results of operations, stock price and prospects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arrangements with healthcare providers, third-party payors, customers, and others may expose us to broadly applicable healthcare fraud and abuse, and other healthcare laws,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lease, order or recommendation of, any good, facility, item or service for which payment may be made, in whole or in part, under a federal healthcare program, such as the Medicare and Medicaid programs.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without limitation, the civil FCA, and the federal Civil Monetary Penalties Law,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Food, Drug and Cosmetic Act, which prohibits, among other things, the adulteration or misbranding of drugs, biological products and medical devices.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transparency requirements, sometimes referred to as the Physician Payments Sunshine Act, created under the ACA and its implementing regulations, which require certain manufacturers of drugs, devices, biological products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operations are found to be in violation of any federal or state healthcare law, or any other governmental laws or regulations that apply to us, we may be subject to penalties, including significant civil, criminal, and administrative penalties, damages, monetary fines, disgorgement, imprisonment, suspension and debarment from government contracts, and refusal of orders under existing government contracts, exclusion from participation in U.S. federal or state health care programs, additional reporting requirements and/or oversight if we become subject to corporate integrity agreements or similar agreement to resolve allegations of non-compliance, contractual damages, reputational harm, diminished profits and future earnings,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significant criminal, civil or administrative sanctions, including but not limited to, exclusions from participation in U.S. federal or state healthcare programs, which could also materially affect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an effective compliance program can mitigate the risk of investigation and prosecution for violations of these laws, the risks cannot be entirely eliminated. Moreover, achieving and sustaining compliance with such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domestic and foreign markets, sales of our products will depend in part upon the availability of coverage and adequate reimbursement from third-party payors or placement on approved product formularies.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Third-party payors establish reimbursement levels. Therefore, even if coverage is provided, the approved reimbursement amount may not be high enough to allow us to establish or maintain a market share sufficient to realize a sufficient return on our or their investments. If reimbursement is not available, or is available only to limited levels, our product candidates may be competitively disadvantaged, and we may not be able to successfully commercialize our product candidates. Alternatively, securing favorable reimbursement terms may require us to compromise pricing and prevent us from realizing an adequate margin over cost. Our failure to obtain or maintain timely or adequate pricing or formulary placement of our products, or failure to obtain such formulary placement at favorable pricing may negatively impact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trend within the healthcare industry is cost containment, both in the United States and elsewhere. Third-party payors, whether foreign or domestic, or governmental or commercial, are developing increasingly sophisticated methods of controlling healthcare costs, including use of formularies. Exclusion of a product from a formulary or other restrictions can significantly impact drug usage in the patient population and beyond. Consequently, pharmaceutical companies compete to gain access to formularies for their products, typically on the basis of unique product features, such as greater efficacy, better patient ease of use, or fewer side effects, as well as the overall cost of the therapy. Certain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 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promptly obtain coverage and adequate reimbursement from third-party payors for any of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new legislation, regulatory proposals and third-party payor initiatives that may increase our costs of compliance, and adversely affect our ability to market our products, obtain collaborators, and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ACA was passed in March 2010 and substantially changed the way healthcare is financed by both governmental and private insurers, and continues to significantly impact the United States pharmaceutical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executive, judicial and congressional challenges to certain aspects of the ACA. For example, legislation enacted in 2017, informally titled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Bipartisan Budget Act of 2018 (BBA) and the Infrastructure Investment and Jobs Act, will remain in effect until 2031 unless additional Congressional action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have been a number of other legislative and regulatory proposals aimed at changing the biopharmaceutical industry. For instance, the Drug Quality and Security Act of 2013 imposes obligations on manufacturers of biopharmaceutical products related to product tracking and tracing. Further, manufacturers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heightened governmental scrutiny in the United States of pharmaceutical pricing practices in light of the rising cost of prescription drugs and biological products. Such scrutiny has resulted in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including those that may result in additional reductions in Medicare and other healthcare funding, could have a material adverse effect on customers for our products, if approved, and, accordingly,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and other consequences, which could adversely affect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anti-corruption laws, including the U.S. Foreign Corrupt Practices Act (FCPA) and other anti-corruption laws that apply in countries where we do business. The FCPA and these other anti-corruption laws generally prohibit us and our employees and intermediaries from authorizing, promising, offering, providing, soliciting, or receiving, directly or indirectly, corrupt or improper payments or anything else of value to or from recipients in the public or private sector. We can be held liable for the corrupt or other illegal activities of our personnel or intermediaries, even if we do not explicitly authorize or have prior knowledge of such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laws and regulations governing our international operations, including applicable import and export control regulations, economic sanctions on countries and persons, anti-money laundering laws, customs requirements and currency exchange regulations, collectively referred to as the trade control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In addition, we cannot predict the nature, scope or effect of future regulatory requirements to which our international operations might be subject or the manner in which existing laws might be administered or interpreted. An investigation of any potential violations of anti-corruption laws or trade control laws by U.S. or other authorities could also have an adverse impact on our reputation,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trial participants in connection with clinical trials, sensitive third-party data, and patient information.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or affected by evolving federal, state and foreign data protection laws and regulations, such as laws and regulations that address privacy and data security. 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 privacy, security, and transmission of individually identifiable health information. We may obtain health information or other personal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if it knowingly receives individually identifiable health information from a HIPAA-covered healthcare provider or research institution that has not satisfied HIPAA’s requirements for disclosure of individually identifiable health information under aiding-and-abetting or conspiracy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states have also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The California Privacy Rights Act of 2020 (CPRA), effective January 1, 2023, further expanded the CCPA in California by adding additional consumer rights and obligations for businesses. In addition, the CPRA established the California Privacy Protection Agency, which is tasked with CRPA implementation and enforcement, among other responsibilities. Other states have enacted data privacy laws. For example, Virginia passed the Consumer Data Protection Act, and Colorado passed the Colorado Privacy Act, both of which became effective in 2023. In addition, data privacy and security laws have been proposed at the federal, state, and local levels in recent years, which could further complicate compliance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 increasing number of laws, regulations, and industry standards apply to data privacy and security. For example, the European Union’s General Data Protection Regulation (EU GDPR), the United Kingdom’s GDPR (UK GDPR), and the Swiss Federal Act on Data Protection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or consumer protection organizations authorized at law to represent their interests may initiate litigation related to processing of individuals’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and foreign data protection laws and regulations could require us to take on more onerous obligations in our contracts, in addition to direct compliance obligations under those laws. We may be directly or contractually subject to data privacy and security obligations, including industry standards adopted by industry groups and may become subject to new data privacy and security obligations in the future. For example, certain privacy laws, such as the EU GDPR and the CCPA, require companies to impose specific contractual restrictions on their service providers. Moreover, clinical trial subjects about whom we or our potential collaborators obtain information, as well as the providers who share this information with us, may contractually limit our ability to use and disclose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Europe has significantly restricted the transfer of personal data to the United States and other countries whose privacy laws it believes are inadequate. Other jurisdictions may adopt similarly stringent interpretations of their data localization and cross-border data transfer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currently various mechanisms that may be used to transfer personal data from Europe to the United States in compliance with law, such as the EU and UK’s standard contractual clauses, these mechanisms are subject to legal challenges, and there is no assurance that we can satisfy or rely on these measures to lawfully transfer personal data 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lawful manner for us to transfer personal data from Europe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which could limit our ability to conduct clinical trial activities in Europe or elsewhere, and injunctions against our processing or transferring of personal data necessary to operate our business. Some European regulators have prevented companies from transferring personal data out of Europe for allegedly violating the GDPR and EU’s cross-border data transfer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We may also be bound by contractual obligations related to data privacy and security, and our efforts to comply with such obligations may not be successful. Additionally, 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our personnel or third parties upon whom we rely may fail to comply with such obligations. Such failures can subject us to potential international, local, state and federal action if they are found to be deceptive, unfair, or misrepresentative of our actual practices,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Violations of or liabilities under environmental, health and safety laws and regulations could subject us to fines, penalties or other costs that could have a material adverse effect on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federal, state and local environmental, health and safety laws and regulations, including those governing laboratory procedures, the handling, use, storage, treatment and disposal of hazardous materials and wastes and the cleanup of contaminated sites. Our operations involve the controlled production, storage, use and disposal of hazardous and flammable materials, including chemicals and biological materials such as infectious agents and various radioactive compounds.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as well as our curtailment of the use of these materials or even shutting down our facilities and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While we maintain insurance covering our manufacturing facility only, and not our other facilities, for environmental liability or toxic tort claims that may be asserted against us in connection with our storage or disposal of biological or hazardous materials, such insurance coverage may not be sufficient to cover extraordinary or unanticipated events at our manufacturing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or the perception in the public markets that these sales may occur, could cause the market price for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reserved 1,650,000 shares of common stock for issuance under our 2023 Equity Incentive Plan, and we have issued a total of 80,000 restricted stock and/or restricted stocks to our independent directors and consultants. 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shares are registered on Form S-8 and will be available for sale in the public market subject to vesting arrangements and exercise of options, the lock-up agreements described above and, in the case of our affiliates, the restrictions of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holders of certain shares of our common stock, or their transferees, have rights, subject to certain conditions, to require us to file one or more registration statements covering their shares or to include their shares in registration statements that we may file for ourselves or other stockholders. If we were to register the resale of those shares, they could be freely sold in the public market without limitation. If these additional shares are sold, or if it is perceived that they will be sold, in the public market, the trading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Financings could adversely affect common stock ownership interest and rights in comparison with those of other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 accordance with our Certificate of Incorporation and Bylaws, has the power to issue additional shares of common stock or preferred stock without stockholder approval.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establish the rights, privileges, preferences and restrictions, including voting rights, of future series of stock and to issue such stock without approval from our shareholders. The rights of holders of common stock may suffer as a result of the rights granted to holders of preferred stock that may be issued in the future. In addition, we could issue preferred stock to prevent a change in control of our Company, depriving common shareholders of an opportunity to sell their stock at a price in excess of the prevailing market price.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any additional common stock or securities convertible into common stock, such issuance will reduce the proportionate ownership and voting power of each other stockholder. In addition, such stock issuances might result in a reduction of the per share book value of our common stock and result in what is more commonly known as dilution. We may issue further shares as consideration for the cash or assets or services out of our authorized but unissued common stock that would, upon issuance, represent a majority of the voting power and equity of our Company. The result of such an issuance would be those new stockholders and management would control our Company, and persons unknown could replace our management at that time. Such an occurrence would result in a greatly reduced percentage of ownership of our Company by our current stockholders, which could present significant risks to stockholders. The Company may raise capital in the futures in “down rounds” at a lower per share price than the trading price for our stock, which would be dilutive to prior investors, and there can be no assurance that future rounds will not be necessary that would be dilutive to investors in the current round. Investors may experience dilution in any future financing conducted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 listing of our common stock on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meet certain financial and liquidity criteria to maintain our listing on NYSE American. If we violate the listing requirements of such stock exchange, or if we fail to meet any of such exchange’s continued listing standards, our common stock may be delisted. In addition, our board of directors may determine that the cost of maintaining our listing on a national securities exchange outweighs the benefits of such listing. A delisting of our common stock from NYSE American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shares of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maintain a listing on NYSE American or another national securities exchange and if the price of our common stock is less than $5.00,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we are not a controlled company, our chairman of the board of directors presently has control over key decision making as a result of his control of a majority of our voting stock and exercises significant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our Chairman, and CEO, has the right to exercise voting rights with respect to an aggregate of 5,341,837 shares of common stock, which represents approximately 36.00% of the voting power of our outstanding capital stock.  As a result, Dr. Yu has the ability to substantially control the outcome of matters submitted to our stockholders for approval, including the election of directors and any merger, consolidation, or sale of all or substantially all of our assets. This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could also discourage a potential investor from acquiring our common stock due to the limited voting power of such stock relative to the shares of common stock and might harm the market price of our common stock. In addition, Dr. Yu has the ability to substantially control the management and major strategic investments of our Company as a result of his position as our CEO and his ability to control the election or replacement of our directors. In the event of his death, the shares of our capital stock that Dr. Yu owns will be transferred to the persons or entities that he designates. As a board member and officer, Dr. Yu owes a fiduciary duty to our stockholders and must act in good faith in a manner he reasonably believes to be in the best interests of our stockholders. As a stockholder, even a controlling stockholder, Dr. Yu is entitled to vote his shares in his own interests, which may not always be in the interests of our stockholders generally.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executive officers, directors, and current beneficial owners of 5% or more of our capital stock and their respective affiliates hold, in the aggregate, beneficially own 37.2% of our outstanding common stock, based on 21,411,198 shares of our common stock outstanding as of March 31, 2026.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shd w:fill="FFFFFF" w:val="clear"/>
        <w:tblLayout w:type="fixed"/>
        <w:tblCellMar>
          <w:top w:w="0" w:type="dxa"/>
          <w:left w:w="0" w:type="dxa"/>
          <w:bottom w:w="0" w:type="dxa"/>
          <w:right w:w="0" w:type="dxa"/>
        </w:tblCellMar>
      </w:tblPr>
      <w:tblGrid>
        <w:gridCol w:w="185"/>
        <w:gridCol w:w="8765"/>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in control;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entrenching our management and/or the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these persons or entities may have interests different than yours. For example, because many of these stockholders purchased their shares at prices substantially below the price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authorized number of our directors to be changed only by resolution of our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manner in which stockholders can remove directors from the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stockholder proposals that can be acted on at stockholder meetings and nominations to our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actions by our stockholders by written consent;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approval of the holders of at least 66 2/3% of the votes that all our stockholders would be entitled to cast to amend or repeal certain provisions of our charter or bylaws.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provides that unless we consent in writing to the selection of an alternative forum, and except for actions brought under the Securities Act or the Exchange Act, the Court of Chancery of the State of Delaware will be the exclusive forums for substantially all disputes between us and our stockholders. In addition, our exclusive forum provision may result in increased costs for investors to bring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and except for actions brought under the Securities Act or the Exchange Act, the Court of Chancery of the State of Delaware is the exclusive forum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breach of fiduciary duty;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any provision of the DGCL or our certificate of incorporation or bylaws;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or proceeding to interpret, apply, enforce, or determine the validity of our certificate of incorporation, or our bylaws;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directors, officers, employees, or agents that is governed by the internal-affairs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financial condition, and prospects. In addition, our exclusive forum provision may result in increased costs for investors to bring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 in our certificate of incorporation specifically excludes actions brought under the Securities Act or Exchange Act. Section 27 of the Exchange Act creates exclusive federal jurisdiction over all claims brought to enforce any duty or liability created by the Exchange Act or the rules and regulations thereunder. Consequently, this forum selection provision would not apply to suits brought to enforce a duty or liability created by the Exchange Act or any other claim for which the U.S. federal courts have exclusive jurisdiction. Moreover, Section 22 of the Securities Act creates concurrent jurisdiction for federal and state courts over all claims brought to enforce any duty or liability created by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proceeds from selling of our securities and may invest or spend the proceeds in ways with which you do not agree and in ways that may not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our cash, including the net proceeds from selling our securities, and could spend the proceeds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current in-development products and planned pipeline and expansion programs as well as commercial preparedness. Pending their use, we may invest our cash, including the net proceeds from our IPO and following equity offerings, in a manner that does not produce value or that loses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could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under this “Item1A Risk Factors” section and elsewhere in this Annul Report, these factors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enrollment, or results of our planned and future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our key research, development, or management personnel;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changes or developments in the United States and other countries or in the status of our regulatory approvals;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new competitors or new technologies;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market new and enhanced products on a timely basis;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agencies with respect to our clinical trials or manufacturers;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our current in-development products or any future product candidates;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relationships with collaborators, manufacturers, or suppliers;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testing and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operations or those of other sources critical to our operations;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safety, tolerability, or efficacy concerns;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acquisitions, new products, significant contracts, commercial relationships or capital commitments;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announcements concerning our competitors or the pharmaceutical industry in general;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or those of our competitors;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acquisitions;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our involvement in, litigation;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issuances of our stock or the stock of our subsidiaries, or the incurrence of additional debt;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board of directors or management;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new or different accounting standards;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common stock on NYSE American;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executive officers and directors or our stockholders or the anticipation that such sales may occur in the future;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overall fluctuations in the financial markets in the United States or the United Kingdom (including those relating to macroeconomic events, such as wars in the Middle East and between Russia and Ukraine);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 price and volume fluctuations of comparable companies and, in particular, those that operate in the biopharmaceutical industry;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slow or negative growth of related markets;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general perception of us and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Some companies that have experienced volatility in the trading price of their shares have been the subject of securities class action litigation.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lawsuit to which we are a party, regardless of merit, may result in an unfavorable judgment. We also may decide to settle lawsuits on unfavorable terms. Any such negative outcome could result in payments of substantial damages or fines, damage to our reputation or adverse changes to our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lawsuit to which we are a party, regardless of the merit of such lawsuit,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significantly costs as a result of operating as a company whose common stock is publicly traded in the United States, and our management are required to devote substantial time to new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in the United States, we incur significant legal, accounting, and other expenses. These expenses will likely be even more significant after we no longer qualify as an emerging growth company. The Sarbanes-Oxley Act, the Dodd-Frank Wall Street Reform and Consumer Protection Act, the listing requirements of NYSE American,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 We cannot predict or estimate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public companies are required to furnish a report by our senior management on our internal control over financial reporting. However, as we are presently an emerging growth company, so long as we remain in the status, or up to five years, we will not be required to include an attestation report on internal control over financial reporting issued by our independent registered public accounting firm. At such time as we will be required to prepare for eventual compliance with Section 404, we will be required to engage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disruptions of our information technology systems or data security incidents could result in significant financial, legal, regulatory, business, and reputational harm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restricted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of our or our third-party vendors’ or business partners’ information technology systems or other similar data security incidents could adversely affect our business operations and result in the loss, misappropriation, and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data protection efforts and our investment in information technology, or the efforts or investments of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implemented security measures intended to protect our information technology systems and infrastructure, there can be no assurance that such measures will successfully prevent service interruptions or security incidents. 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personal information regarding our patients or employees, could disrupt our business, harm our reputation, compel us to comply with applicable federal and state breach notification laws and foreign law equivalents, subject us to time-consuming,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data security incidents and other inappropriate access can be difficult to detect, and any delay in identifying them may lead to increased harm of the type described above. Any of the foregoing could have a material adverse effect on our reputation, business, operations, or financial condition.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this Annual Report. In particular, in this Annual Report, we have provided only two years of audited financial statements and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also classified as a “smaller reporting company” and are exempt from certain disclosure requirements, which could make our stock less attractive to potential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12b-2 of the Exchange Act defines a “smaller reporting company” as an issuer that is not an investment company, an asset-backed issuer, or a majority-owned subsidiary of a parent that is not a smaller reporting company and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 public float of less than $250 million as of the last business day of its most recently completed fiscal quarter, computed by multiplying the aggregate number of worldwide number of shares of its voting and non-voting common equity held by non-affiliates by the price at which the common equity was last sold, or the average of the bid and asked prices of common equity, in the principal market for the common equity;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offering price of the shares;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issuer who had annual revenue of less than $100 million during the most recently completed fiscal year for which audit financial statements are available, had a public float as calculated under paragraph (1) or (2) of this definition that was either zero or less than $700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and may not include a Compensation Discussion and Analysis section in our proxy statements; we provide only three years of business development information; provide fewer years of selected data; and have other “scaled” disclosure requirements that are less comprehensive than issuers that are not “smaller reporting companies” which could make our stock less attractive to potential investors, which could make it more difficult for you to sell your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“smaller reporting company,” we may at some time in the future choose to exempt our Company from certain corporate governance requirements that could have an adverse effect on our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NYSE American rules, a “smaller reporting company,” as defined in Rule 12b-2 under the Exchange Act, is not subject to certain corporate governance requirements otherwise applicable to companies listed on NYSE American. For example, a smaller reporting company is exempt from the requirement of having a compensation committee composed solely of directors meeting certain enhanced independence standards, as long as the compensation committee has at least two members who do meet such standards. Although we have determined not to avail ourselves of this or other exemptions from NYSE American requirements that are or may be afforded to smaller reporting companies while we will seek to maintain our shares on NYSE American, in the future we may elect to rely on any or all of these exemptions. By electing to utilize any such exemptions, our Company may be subject to greater risks of poor corporate governance, poorer management decision-making processes, and reduced results of operations from problems in our corporate organization. Consequently, if we were to avail ourselves of these exemptions, our stock price might suffer, and there is no assurance that we would be able to continue to meet all continued listing requirements of NYSE American from which we would not be exempt, including minimum stock price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funding for or disruption at the FDA, the SEC and other government agencies, including from government shut downs, or other disruptions to these agencies’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agencies in the United States, including the FDA and the SEC, operate pursuant to annual appropriations and other political and budgetary processes, and may from time to time be subject to continuing resolutions, funding lapses, or other fiscal constraints. Without appropriation of sufficient funding to federal agencies, our business operations related to our product development activities for the U.S. market could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and may continue to fluctuate as a results of these factor as a result. In addition, government funding of the SEC and other government agencies on which our operations may rely, including those that fund research and development activities, is subject to the political process,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most recently in October 1, 2025 through November 12, 2025, and certain regulatory agencies, such as the FDA and the SEC, have had to furlough critical employees and stop critical activities. If a prolonged government shutdown occurs again, or if global health concerns or shortages in resources prevent the FDA or other regulatory authorities from conducting their regulatory inspections, reviews or other regulatory activities, including formal or informal interactions with product developers,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or delay the review or effectiveness of required regulatory or securities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 Congress, the Trump administration, or any new administration may make substantial changes to fiscal, tax, and other federal policies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and potential future changes to U.S. and non-U.S. tax laws could materially adversely affect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new, or future changes in tax laws, regulations, and treaties, or the interpretation thereof, in addition to tax policy initiatives and reforms under consideration in the United States or internationally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enacted U.S. tax legislation has significantly changed the U.S. federal income taxation of U.S. corporations, including by reducing the U.S. corporate income tax rate, limiting interest deductions,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of the corporate tax rate under the legislation may cause a reduction in the economic benefit of deferred tax assets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federal and state net operating loss, or NOLs, carryforwards of approximately $9.9 million.  Under the Tax Cuts and Jobs Act of 2017, or the Tax Act, as modified by the Coronavirus Aid, Relief, and Economic Security Act, or the CARES Act, our NOLs generated in tax years beginning after December 31, 2020 may be carried forward indefinitely, but the deductibility of such federal NOLs in tax years beginning after December 31, 2020, is limited to 80% of taxable income. This change may require us to pay federal income taxes in future years despite generating a loss for federal income tax purposes in prior years. It is uncertain if and to what extent various states will conform to the Tax Act or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Sections 382 and 383 of the U.S.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have operations and have an adverse effect on our overall tax rate in the future, along with increasing the complexity, burden, and cost of tax compliance. While some of the changes made by the tax legislation may adversely affect us in one or more reporting periods and prospectively, other changes may be beneficial on a going-forward basis. We intend to work with our tax advisors and auditors to determine the full impact that the recent tax legislation as a whole will have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our stockholders to consult with their legal and tax advisors with respect to any such legislative changes and the potential tax consequences of investing in or holding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standards and subjective assumptions, estimates and judgments by management related to complex accounting matters may materially impact reporting of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pursuant to Section 404 of the Sarbanes-Oxley Act, to furnish a report by management on, among other things, regarding the effectiveness of our internal control over financial reporting starting with the second annual report filed by the Company after completion of our IPO and in each year thereafter. Our auditors, however, will not be required to attest to the effectiveness of our internal control over financial reporting until we are no longer deemed an Emerging Growth Company, which will not be until after we have been a public reporting company for five fiscal years or until we have annual gross revenues of more than $1.235 billion, whichever occurs sooner. If we are unable to assert that our internal control over financial reporting is effective, or when required in the future,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lack of public company experience of our management team could adversely impact our ability to comply with the reporting requirements of U.S. securities laws, which could have a materially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Exchange Act, which is necessary to maintain our public company status. If we were to fail to fulfill those obligations, our ability to continue as a U.S. public company would be in jeopardy in which event you could lose your entire investment in our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subject to securities class action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when the market price of a stock has been volatile, holders of that stock sometimes have instituted securities class action litigation against the company that issued the stock following a decline in the market price of their securities. This risk is especially relevant for us because biotechnology companies have experienced significant share price volatility in recent years. Securities litigation against us, regardless of the merits or outcome, could result in substantial costs and divert the time and attention of our management from our business,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liability to us and stockholders is limited;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provide that we will indemnify our directors and officers, in each case, to the fullest extent permitted by Delaware law. Pursuant to our bylaws and the DGCL, our directors will not be liable to the Company or any stockholders for damages for any breach of fiduciary duty, except (i) acts that breach his or her duty of loyalty to the Company or its stockholders; (ii) acts or omissions without good faith or involving intentional misconduct or knowing violation of the law; (iii) pursuant to Section 174 of the DGCL regarding director liability for unlawful payment of a dividend or unlawful stock purchase or redemption; or (iv) for any transaction from which the director derived an improper personal benefit. Accordingly, we will have a much more limited right of action against our directors that otherwise would be the case. This provision does not affect the liability of any director under federal or applicable state securities laws. 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data protection, and other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and financial condition.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The capital markets may experience periods of disruption, instability and economic uncertainty. Such market conditions may materially and adversely affect the debt and equity capital markets, which may have a negative impact on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From time to time, capital markets may experience periods of disruption, instability and economic uncertainty. Such periods may result in, among other things, write-offs, the re-pricing of credit risk, the failure of financial institutions or worsening general economic conditions, any of which could materially and adversely impact the broader financial and credit markets and reduce the availability of debt and equity capital for the market as a whole and, as a result, negatively affect our ability to access capital. Global financial markets have experienced heightened volatility in recent years. In addition, social and political tensions in the U.S. and around the world may contribute to increased market volatility, may have long-term effects on the U.S. and worldwide financial markets, and may cause economic uncertainties or deterioration in the U.S. and worldwide. There can be no assurance these market conditions will not occur or worsen in the future, including economic and political events in or affecting the world’s major </w:t>
      </w:r>
      <w:r>
        <w:rPr>
          <w:rFonts w:ascii="Times New Roman;Times;Serif" w:hAnsi="Times New Roman;Times;Serif"/>
          <w:b w:val="false"/>
          <w:i w:val="false"/>
          <w:caps w:val="false"/>
          <w:smallCaps w:val="false"/>
          <w:sz w:val="20"/>
        </w:rPr>
        <w:t>economies, such as the ongoing war between Russia and Ukraine and continued conflicts and political unrest in the Middle East and South America. Sanctions imposed by the U.S. and other countries in connection with hostilities between Russia and Ukraine, the war in Iran, conflicts in the Middle East, and the tensions between China and Taiwan have caused additional financial market volatility and affected the global economy. Concerns over future inflation volatility, economic recession, as well as interest rate volatility and fluctuations in oil and gas prices resulting from global production and demand levels, as well as geopolitical tension, have exacerbated market volatility. In addition, social unrest, changes regarding immigration and work permit policies and other political and security concerns may not abate, which may cause the debt and equity capital markets and our business to be adversely affected both within and outside of regions experiencing ongoing conflicts. Market uncertainty and volatility have also been magnified as a result of uncertainties regarding actual and potential shifts in U.S. and foreign trade, economic and other policies, including with respect to treaties and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volatility in the capital markets may make it difficult to raise equity capital or obtain debt financing, the results of which could cause a material adverse effect on our business, financial condition and/or results of operations. If we are unable to raise additional capital, we will not be able to fund our ongoing clinical trials and further develop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n_001"/>
      <w:bookmarkEnd w:id="6"/>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n_002"/>
      <w:bookmarkEnd w:id="7"/>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risk assessments at least annually to identify cybersecurity threats. These risk assessments include identifying reasonably foreseeable potential internal and external risks, the likelihood of occurrence and any potential damage that could result from such risks, and the sufficiency of existing policies, procedures, systems, controls and other safeguards we have put in place to manage such risks. Our risk management process also encompasses cybersecurity risks associated with the use of our major third-party vendors and service providers.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 including the risk factors entitled “</w:t>
      </w:r>
      <w:r>
        <w:rPr>
          <w:rFonts w:ascii="Times New Roman;Times;Serif" w:hAnsi="Times New Roman;Times;Serif"/>
          <w:b w:val="false"/>
          <w:i/>
          <w:caps w:val="false"/>
          <w:smallCaps w:val="false"/>
          <w:sz w:val="20"/>
        </w:rPr>
        <w:t xml:space="preserve">Our internal computer systems, or those of our CROs or other contractors or consultants, may fail or suffer security breaches, which could result in a material disruption of our product development programs,” and “Our proprietary information, or that of our customers, suppliers and business partners, may be lost or we may suffer security breaches.”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of Directors is informed oversight of our risk management process, including risks arising from cybersecurity threats. Our Board of Directors is responsible for monitoring and assessing strategic risk exposure, and our executive officers are responsible for the day-to-day management of the material risks we face. Our Chief Financial Officer is primarily responsible for assessing and managing material risks from cybersecurity threats on a day to day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n_003"/>
      <w:bookmarkEnd w:id="8"/>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address is 2355 Westwood Blvd. #139, Los Angeles, CA, 90064. This is the address of our registered agent. We currently do not lease any properties, but if required, we believe that suitable additional or alternative space would be available in the future on commercially reasonable terms. As of the date of this Annual Report, all of our operations are conducted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n_004"/>
      <w:bookmarkEnd w:id="9"/>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material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 We are not presently party to any legal proceedings material to our operations or of which any of our property is the subject, nor are we aware of any such proceedings that are contemplated by a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n_005"/>
      <w:bookmarkEnd w:id="1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1" w:name="an_006"/>
      <w:bookmarkEnd w:id="11"/>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n_007"/>
      <w:bookmarkEnd w:id="12"/>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LLC, or NYSE American, under the symbol “KAPA.”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48 holders of record of our common stock and 21,411,198 shares of common stock issued and outstanding. This number of holders of record does not represent the actual number of beneficial owners of our common shares because shares are frequently held in “street name” by securities dealers and others for the benefit of individual owners who have the right to vote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Company’s common stock that may be issued under the Company’s 2023 Equity Incentive Plan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79"/>
        <w:gridCol w:w="60"/>
        <w:gridCol w:w="198"/>
        <w:gridCol w:w="2303"/>
        <w:gridCol w:w="60"/>
        <w:gridCol w:w="60"/>
        <w:gridCol w:w="659"/>
        <w:gridCol w:w="2004"/>
        <w:gridCol w:w="60"/>
        <w:gridCol w:w="60"/>
        <w:gridCol w:w="227"/>
        <w:gridCol w:w="2657"/>
        <w:gridCol w:w="78"/>
      </w:tblGrid>
      <w:tr>
        <w:trPr/>
        <w:tc>
          <w:tcPr>
            <w:tcW w:w="1779" w:type="dxa"/>
            <w:tcBorders>
              <w:bottom w:val="single" w:sz="8" w:space="0" w:color="000000"/>
            </w:tcBorders>
            <w:vAlign w:val="center"/>
          </w:tcPr>
          <w:p>
            <w:pPr>
              <w:pStyle w:val="TableContents"/>
              <w:bidi w:val="0"/>
              <w:spacing w:before="0" w:after="283"/>
              <w:jc w:val="left"/>
              <w:rPr>
                <w:b/>
                <w:sz w:val="20"/>
              </w:rPr>
            </w:pPr>
            <w:r>
              <w:rPr>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2501" w:type="dxa"/>
            <w:gridSpan w:val="2"/>
            <w:tcBorders>
              <w:bottom w:val="single" w:sz="8" w:space="0" w:color="000000"/>
            </w:tcBorders>
            <w:vAlign w:val="center"/>
          </w:tcPr>
          <w:p>
            <w:pPr>
              <w:pStyle w:val="TableContents"/>
              <w:bidi w:val="0"/>
              <w:spacing w:before="0" w:after="283"/>
              <w:jc w:val="both"/>
              <w:rPr>
                <w:b/>
                <w:sz w:val="20"/>
              </w:rPr>
            </w:pPr>
            <w:r>
              <w:rPr>
                <w:b/>
                <w:sz w:val="20"/>
              </w:rPr>
              <w:t>Number of securities to be issued upon exercise or vesting of outstanding options, warrants,  rights and restricted stock 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63" w:type="dxa"/>
            <w:gridSpan w:val="2"/>
            <w:tcBorders>
              <w:bottom w:val="single" w:sz="8" w:space="0" w:color="000000"/>
            </w:tcBorders>
            <w:vAlign w:val="center"/>
          </w:tcPr>
          <w:p>
            <w:pPr>
              <w:pStyle w:val="TableContents"/>
              <w:bidi w:val="0"/>
              <w:spacing w:before="0" w:after="283"/>
              <w:jc w:val="both"/>
              <w:rPr>
                <w:b/>
                <w:sz w:val="20"/>
              </w:rPr>
            </w:pPr>
            <w:r>
              <w:rPr>
                <w:b/>
                <w:sz w:val="20"/>
              </w:rPr>
              <w:t>Weighted-average exercised price of outstanding options, warrants, rights and restricted stock 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8" w:space="0" w:color="000000"/>
            </w:tcBorders>
            <w:vAlign w:val="center"/>
          </w:tcPr>
          <w:p>
            <w:pPr>
              <w:pStyle w:val="TableContents"/>
              <w:bidi w:val="0"/>
              <w:spacing w:before="0" w:after="283"/>
              <w:jc w:val="both"/>
              <w:rPr>
                <w:b/>
                <w:sz w:val="20"/>
              </w:rPr>
            </w:pPr>
            <w:r>
              <w:rPr>
                <w:b/>
                <w:sz w:val="20"/>
              </w:rPr>
              <w:t>Number of securities remaining available for future issuance under equity compensation plans (excluding securities reflected in first column)</w:t>
            </w:r>
          </w:p>
        </w:tc>
        <w:tc>
          <w:tcPr>
            <w:tcW w:w="78" w:type="dxa"/>
            <w:tcBorders/>
            <w:tcMar>
              <w:bottom w:w="0" w:type="dxa"/>
            </w:tcMar>
            <w:vAlign w:val="center"/>
          </w:tcPr>
          <w:p>
            <w:pPr>
              <w:pStyle w:val="TableContents"/>
              <w:bidi w:val="0"/>
              <w:spacing w:before="0" w:after="283"/>
              <w:jc w:val="left"/>
              <w:rPr/>
            </w:pPr>
            <w:r>
              <w:rPr/>
              <w:t> </w:t>
            </w:r>
          </w:p>
        </w:tc>
      </w:tr>
      <w:tr>
        <w:trPr/>
        <w:tc>
          <w:tcPr>
            <w:tcW w:w="1779"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303" w:type="dxa"/>
            <w:tcBorders/>
            <w:shd w:fill="CCEEFF" w:val="clear"/>
            <w:tcMar>
              <w:bottom w:w="0" w:type="dxa"/>
            </w:tcMar>
            <w:vAlign w:val="center"/>
          </w:tcPr>
          <w:p>
            <w:pPr>
              <w:pStyle w:val="TableContents"/>
              <w:bidi w:val="0"/>
              <w:spacing w:before="0" w:after="283"/>
              <w:jc w:val="right"/>
              <w:rPr>
                <w:sz w:val="20"/>
              </w:rPr>
            </w:pPr>
            <w:r>
              <w:rPr>
                <w:sz w:val="20"/>
              </w:rPr>
              <w:t>772,605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9" w:type="dxa"/>
            <w:tcBorders/>
            <w:shd w:fill="CCEEFF" w:val="clear"/>
            <w:tcMar>
              <w:bottom w:w="0" w:type="dxa"/>
            </w:tcMar>
            <w:vAlign w:val="center"/>
          </w:tcPr>
          <w:p>
            <w:pPr>
              <w:pStyle w:val="TableContents"/>
              <w:bidi w:val="0"/>
              <w:spacing w:before="0" w:after="283"/>
              <w:jc w:val="left"/>
              <w:rPr>
                <w:sz w:val="20"/>
              </w:rPr>
            </w:pPr>
            <w:r>
              <w:rPr>
                <w:sz w:val="20"/>
              </w:rPr>
              <w:t>$</w:t>
            </w:r>
          </w:p>
        </w:tc>
        <w:tc>
          <w:tcPr>
            <w:tcW w:w="2004" w:type="dxa"/>
            <w:tcBorders/>
            <w:shd w:fill="CCEEFF" w:val="clear"/>
            <w:tcMar>
              <w:bottom w:w="0" w:type="dxa"/>
            </w:tcMar>
            <w:vAlign w:val="center"/>
          </w:tcPr>
          <w:p>
            <w:pPr>
              <w:pStyle w:val="TableContents"/>
              <w:bidi w:val="0"/>
              <w:spacing w:before="0" w:after="283"/>
              <w:jc w:val="righ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657" w:type="dxa"/>
            <w:tcBorders/>
            <w:shd w:fill="CCEEFF" w:val="clear"/>
            <w:tcMar>
              <w:bottom w:w="0" w:type="dxa"/>
            </w:tcMar>
            <w:vAlign w:val="center"/>
          </w:tcPr>
          <w:p>
            <w:pPr>
              <w:pStyle w:val="TableContents"/>
              <w:bidi w:val="0"/>
              <w:spacing w:before="0" w:after="283"/>
              <w:jc w:val="right"/>
              <w:rPr>
                <w:sz w:val="20"/>
              </w:rPr>
            </w:pPr>
            <w:r>
              <w:rPr>
                <w:sz w:val="20"/>
              </w:rPr>
              <w:t>877,395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779" w:type="dxa"/>
            <w:tcBorders/>
            <w:shd w:fill="FFFFFF" w:val="clear"/>
            <w:tcMar>
              <w:bottom w:w="0" w:type="dxa"/>
            </w:tcMar>
            <w:vAlign w:val="center"/>
          </w:tcPr>
          <w:p>
            <w:pPr>
              <w:pStyle w:val="TableContents"/>
              <w:bidi w:val="0"/>
              <w:spacing w:before="0" w:after="283"/>
              <w:jc w:val="left"/>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2303"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9" w:type="dxa"/>
            <w:tcBorders/>
            <w:shd w:fill="FFFFFF" w:val="clear"/>
            <w:tcMar>
              <w:bottom w:w="0" w:type="dxa"/>
            </w:tcMar>
            <w:vAlign w:val="center"/>
          </w:tcPr>
          <w:p>
            <w:pPr>
              <w:pStyle w:val="TableContents"/>
              <w:bidi w:val="0"/>
              <w:spacing w:before="0" w:after="283"/>
              <w:jc w:val="left"/>
              <w:rPr/>
            </w:pPr>
            <w:r>
              <w:rPr/>
              <w:t> </w:t>
            </w:r>
          </w:p>
        </w:tc>
        <w:tc>
          <w:tcPr>
            <w:tcW w:w="200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657"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779"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303" w:type="dxa"/>
            <w:tcBorders/>
            <w:shd w:fill="CCEEFF" w:val="clear"/>
            <w:tcMar>
              <w:bottom w:w="0" w:type="dxa"/>
            </w:tcMar>
            <w:vAlign w:val="center"/>
          </w:tcPr>
          <w:p>
            <w:pPr>
              <w:pStyle w:val="TableContents"/>
              <w:bidi w:val="0"/>
              <w:spacing w:before="0" w:after="283"/>
              <w:jc w:val="right"/>
              <w:rPr>
                <w:sz w:val="20"/>
              </w:rPr>
            </w:pPr>
            <w:r>
              <w:rPr>
                <w:sz w:val="20"/>
              </w:rPr>
              <w:t>772,605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9" w:type="dxa"/>
            <w:tcBorders/>
            <w:shd w:fill="CCEEFF" w:val="clear"/>
            <w:tcMar>
              <w:bottom w:w="0" w:type="dxa"/>
            </w:tcMar>
            <w:vAlign w:val="center"/>
          </w:tcPr>
          <w:p>
            <w:pPr>
              <w:pStyle w:val="TableContents"/>
              <w:bidi w:val="0"/>
              <w:spacing w:before="0" w:after="283"/>
              <w:jc w:val="left"/>
              <w:rPr/>
            </w:pPr>
            <w:r>
              <w:rPr/>
              <w:t> </w:t>
            </w:r>
          </w:p>
        </w:tc>
        <w:tc>
          <w:tcPr>
            <w:tcW w:w="2004" w:type="dxa"/>
            <w:tcBorders/>
            <w:shd w:fill="CCEEFF" w:val="clear"/>
            <w:tcMar>
              <w:bottom w:w="0" w:type="dxa"/>
            </w:tcMar>
            <w:vAlign w:val="center"/>
          </w:tcPr>
          <w:p>
            <w:pPr>
              <w:pStyle w:val="TableContents"/>
              <w:bidi w:val="0"/>
              <w:spacing w:before="0" w:after="283"/>
              <w:jc w:val="righ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657" w:type="dxa"/>
            <w:tcBorders/>
            <w:shd w:fill="CCEEFF" w:val="clear"/>
            <w:tcMar>
              <w:bottom w:w="0" w:type="dxa"/>
            </w:tcMar>
            <w:vAlign w:val="center"/>
          </w:tcPr>
          <w:p>
            <w:pPr>
              <w:pStyle w:val="TableContents"/>
              <w:bidi w:val="0"/>
              <w:spacing w:before="0" w:after="283"/>
              <w:jc w:val="right"/>
              <w:rPr>
                <w:sz w:val="20"/>
              </w:rPr>
            </w:pPr>
            <w:r>
              <w:rPr>
                <w:sz w:val="20"/>
              </w:rPr>
              <w:t>877,395</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“Recent Developments - 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7" w:right="0" w:hanging="907"/>
        <w:jc w:val="left"/>
        <w:rPr>
          <w:rFonts w:ascii="Times New Roman;Times;Serif" w:hAnsi="Times New Roman;Times;Serif"/>
          <w:b/>
          <w:i w:val="false"/>
          <w:caps w:val="false"/>
          <w:smallCaps w:val="false"/>
          <w:sz w:val="20"/>
        </w:rPr>
      </w:pPr>
      <w:bookmarkStart w:id="13" w:name="an_008"/>
      <w:bookmarkEnd w:id="13"/>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mda_001"/>
      <w:bookmarkEnd w:id="14"/>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discussion and analysis should be read in conjunction with our financial statements and related notes included elsewhere in this Annual Report. This discussion and analysis and other parts of this Annual Report contain forward-looking statements based upon current beliefs that involve risks, uncertainties and assumptions, such as statements regarding our plans, objectives, expectations and intentions. Our actual results and the timing of selected events could differ materially from those described in or implied by these forward-looking statements as a result of several factors, including those set forth under “Item 1A Risk Factors” and elsewhere in this Annual Report. You should carefully read the “Item 1A Risk Factors” of this Annual Report to gain an understanding of the important factors that could cause actual results to differ materially from our forward-looking statements. Please also see “Disclosure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advancing therapeutics for cancer patients that are designed to overcome key hurdles in immune suppression and drug resistance.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advance our portfolio of innovative therapeutics to reverse key mechanisms of therapeutic resistance and immune suppression and transform the way cancer is treated. We have leveraged molecular insights of the mechanisms of therapeutic resistance and immune suppression to develop a new class of novel drugs that are designed to target drug resistance and checkpoints of immune suppression. As of the date of this Quarterly Report, our product candidates have not been approved as safe or effective by the FDA or any other comparable foreign regulator.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Our net losses were $5,447 and $2,603 for the years ended December 31, 2025 and 2024, respectively. As of December 31, 2025, we had an accumulated deficit of $14,262.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product sales unless and until we successfully complete our clinical trials and obtain regulatory approval for our product candidates. In addition, if we obtain regulatory approval for our product candidates and do not enter into a third-party commercialization partnership, we will likely incur significant expenses related to developing our commercialization capability to support product sales, marketing, manufacturing, and distribution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and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stockholders, in case of equity financing.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Equity Line of Credit Agreement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we entered into an ELOC agreement (the “ELOC Agreement”) with Helena Global Investment Opportunities I LTD (“Helena”), pursuant to which Helena agreed to purchase from the Company up to $30,000 of common stock (the “ELOC Shares”), which the Company may exercise at any time following effectiveness of a registration statement at a price equal to the 95% of the lowest trading price during the three days following the Company’s notice to Helena to exercise the ELOC Agreement. The Company issued 670,641 shares of restricted common stock (the “Commitment Fee Shares”) to Helena as a “Commitment Fee” for the ELOC Agreement. The ELOC Agreement became available for the Company’s use following the filing and effectiveness of a resale registration statement registering the ELOC Shares for resale. Following effectiveness of the resale registration statement (the “Effective Date”), the Commitment Fee Shares were subject to a “true-up” pursuant to which, as the shares are valued at less than $900 on the Effective Date, additional shares were issued to Helena to bring the ELOC Shares to the full $900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will terminate upon the following events: (i) the first day of the month next following the 36-month anniversary of the date of the ELOC Agreement or (ii) the date on which Helena has purchased the full $30,000 of ELOC Shares. The ELOC Agreement may also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meeting of shareholders on June 10, 2025, a majority of the Company’s shareholders approved the issuance in excess of 19.99% of the Company’s common stock at a price below market value, in accordance with the terms of the ELOC Agreement and in compliance with Rule 713 of the NYSE American LLC Company Guide.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in connection with its ELOC agreement with Helena, the Company sold 3,510,000 shares of its common stock to Helena for net proceeds of $3,205. The shares were issued to Helena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Securities LLC (“Boustead”) and D. Boral Capital LLC (“D. Boral”) acted as placement agents (the “Placement Agents”) in the ELOC offering and, following each exercise, are entitled to cash compensation of 7%, 1% non-accountable fees and warrants equal to 7%. To date, the Placement Agents have received total cash compensation equal to $313,225 and a total of 245,750 warrants to purchase common stock, exercisable at exercise prices of $0.40, $0.46 and $1.2308 per share, which warrants will expire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(the “Pre-Funded Warrant”) to purchase one share of common stock, exercisable for $0.001 per share, and a common warrant (the “Common Warrant”) to purchase one and one half shares of common stock, exercisable at $1.40 per share (the “January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closed the January 2025 PIPE Offering for a total purchase price of $3,498 (or $1.399 per Pre-Funded Unit), with an additional $2 payable upon the Investor’s exercise of the Pre-Funded Warrants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Purchase Agreement and Common Warrants remained the same.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and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the Placement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2026 At the Market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sales to date. No revenue was recorded from any sources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Ramachandran Murali is our Vice President of Research and Development. Dr. Murali is a doctor and scientist at Cedars-Sinai Medical Center, and is the inventor, with others, of three of the patented technologies that are subject to the Kairos-Cedars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rolling out our Phase 1 and Phase 2 clinical trials for ENV 105 and a Phase 1 trial for KROS 201. In addition, we are continuously performing preclinical research including animal models of disease, medicinal chemistry laboratory studies, formulation, and toxicology and biodistribution studies. Our clinical development costs may vary significantly based on factors such as: per patient trial costs; the number of trials required for approval; the number of sites included in the trials; the location where the trials are conducted; the length of time required to enroll eligible patients; the number of patients that participate in the trials; the number of doses that patients receive; the drop-out or discontinuation rates of patients; potential additional safety monitoring requested by regulatory agencies; the duration of patient participation in the trials and follow-up; the cost and timing of manufacturing our product candidates; the phase of development of our product candidates; and the efficacy and safety profile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and commercialization of product candidates is highly uncertain. This is due to the numerous risks and uncertainties associated with product development and commercialization, including the following: the timing and progress of nonclinical and clinical development activities; the number and scope of nonclinical and clinical programs we decide to pursue; raising necessary additional funds; the progress of the development efforts of parties with whom we may enter into collaboration arrangements; our ability to maintain our current development program and to establish new ones; our ability to establish new licensing or collaboration arrangements; the successful initiation and completion of clinical trials with safety, tolerability and efficacy profiles that are satisfactory to the FDA or any comparable foreign regulatory authority; the receipt and related terms of regulatory approvals from applicable regulatory authorities; the availability of drug substance and drug product for use in production of our product candidate; establishing and maintaining agreements with third-party manufacturers for clinical supply for our clinical trials and commercial manufacturing, if our product candidates are approved; our ability to obtain and maintain patents, trade secret protection and regulatory exclusivity, both in the United States and internationally; our ability to protect our rights in our intellectual property portfolio; the commercialization of our product candidates, if and when approved; obtaining and maintaining third-party insurance coverage and adequate reimbursement; the acceptance of our product candidate, if approved, by patients, the medical community and third-party payors; competition with other products; the impact of any business interruptions to our operations, including the timing and enrollment of patients in our planned clinical trials, or to those of our manufacturers, suppliers, or other vendors resulting from any pandemic or public health crisis; and a continued acceptable safety profile of our therapies following approval.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costs for personnel in executive, finance, corporate and business development, as well as administrative functions. General and administrative expenses also include legal fees relating to patent, corporate, IPO-related matters, and SEC reporting matters; professional fees for accounting, auditing, tax and administrative consulting services; insurance costs; administrative travel expenses; marketing expenses and other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740"/>
        <w:gridCol w:w="60"/>
        <w:gridCol w:w="254"/>
        <w:gridCol w:w="1160"/>
        <w:gridCol w:w="95"/>
        <w:gridCol w:w="60"/>
        <w:gridCol w:w="254"/>
        <w:gridCol w:w="1160"/>
        <w:gridCol w:w="110"/>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049" w:type="dxa"/>
        <w:jc w:val="left"/>
        <w:tblInd w:w="0" w:type="dxa"/>
        <w:tblLayout w:type="fixed"/>
        <w:tblCellMar>
          <w:top w:w="0" w:type="dxa"/>
          <w:left w:w="0" w:type="dxa"/>
          <w:bottom w:w="28" w:type="dxa"/>
          <w:right w:w="0" w:type="dxa"/>
        </w:tblCellMar>
      </w:tblPr>
      <w:tblGrid>
        <w:gridCol w:w="3965"/>
        <w:gridCol w:w="60"/>
        <w:gridCol w:w="283"/>
        <w:gridCol w:w="1132"/>
        <w:gridCol w:w="60"/>
        <w:gridCol w:w="60"/>
        <w:gridCol w:w="379"/>
        <w:gridCol w:w="1035"/>
        <w:gridCol w:w="75"/>
      </w:tblGrid>
      <w:tr>
        <w:trPr/>
        <w:tc>
          <w:tcPr>
            <w:tcW w:w="39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Research and Development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 and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$2,135 and $414 for the years ended December 31, 2025 and 2024, respectively. The increase in R&amp;D expenses in 2025 primarily related to our Phase 2 trial in prostate cancer beginning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28" w:type="dxa"/>
          <w:right w:w="0" w:type="dxa"/>
        </w:tblCellMar>
      </w:tblPr>
      <w:tblGrid>
        <w:gridCol w:w="4250"/>
        <w:gridCol w:w="60"/>
        <w:gridCol w:w="283"/>
        <w:gridCol w:w="1132"/>
        <w:gridCol w:w="60"/>
        <w:gridCol w:w="60"/>
        <w:gridCol w:w="283"/>
        <w:gridCol w:w="1132"/>
        <w:gridCol w:w="75"/>
      </w:tblGrid>
      <w:tr>
        <w:trPr/>
        <w:tc>
          <w:tcPr>
            <w:tcW w:w="42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and board compensation and wages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professional service expenses and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relating to license agreements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pPr>
            <w:r>
              <w:rPr/>
              <w:t> </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pPr>
            <w:r>
              <w:rPr/>
              <w:t> </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$3,437 and $1,929 for the years ended December 31, 2025 and 2024, respectively. Significant changes between periods consisted of the increase in other professional service expenses and fees, primarily related to being a publicly traded company; the increase in insurance expenses, primarily D&amp;O; and the increase in vendor advance amortization expense in 2025, relating to our vendor advances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was $125 and $(260) for the years ended December 31, 2025 and 2024, respectively. In 2025, other income was interest income earned from our money market account. In 2024, other expenses were interest expense of $35, financing costs of $670 and debt discount amortization of $154, with other income relating to a gain on the settlement of accounts payable of $599.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cash flow activities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6968" w:type="dxa"/>
        <w:jc w:val="left"/>
        <w:tblInd w:w="0" w:type="dxa"/>
        <w:tblLayout w:type="fixed"/>
        <w:tblCellMar>
          <w:top w:w="0" w:type="dxa"/>
          <w:left w:w="0" w:type="dxa"/>
          <w:bottom w:w="0" w:type="dxa"/>
          <w:right w:w="0" w:type="dxa"/>
        </w:tblCellMar>
      </w:tblPr>
      <w:tblGrid>
        <w:gridCol w:w="3935"/>
        <w:gridCol w:w="60"/>
        <w:gridCol w:w="243"/>
        <w:gridCol w:w="1111"/>
        <w:gridCol w:w="95"/>
        <w:gridCol w:w="60"/>
        <w:gridCol w:w="243"/>
        <w:gridCol w:w="1111"/>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r>
          </w:p>
        </w:tc>
        <w:tc>
          <w:tcPr>
            <w:tcW w:w="110" w:type="dxa"/>
            <w:tcBorders/>
            <w:vAlign w:val="center"/>
          </w:tcPr>
          <w:p>
            <w:pPr>
              <w:pStyle w:val="TableContents"/>
              <w:bidi w:val="0"/>
              <w:spacing w:before="0" w:after="283"/>
              <w:jc w:val="left"/>
              <w:rPr/>
            </w:pPr>
            <w:r>
              <w:rPr/>
              <w:t> </w:t>
            </w:r>
          </w:p>
        </w:tc>
      </w:tr>
      <w:tr>
        <w:trPr/>
        <w:tc>
          <w:tcPr>
            <w:tcW w:w="39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used cash from operating activities of $3,441, compared to $3,955 used during the year ended December 31, 2024. During the year ended December 31, 2025, we incurred a net loss of $5,447 and had non-cash expenses of $2,182, compared to a net loss of $2,603 and non-cash expenses of $632 during the year ended December 31, 2024. The primary non-cash expense in 2025 was the amortization of vendor advances of $2,170.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change in operating assets and liabilities during the year ended December 31, 2025 used cash of $806, compared to $1,984 used during the year ended December 31, 2024. The primary use of cash relating to operating assets and liabilities during the year ended December 31, 2025, was the decrease in accounts payable and accrued expenses. The primary use of cash during the years ended December 31, 2024, was the increase in vendor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provided cash from financing activities of $6,660, compared to $5,134 provided during the year ended December 31, 2024. For the year ended December 31, 2025, cash provided by financing activities consisted of proceeds from our private financing of $3,058 and proceeds of $3,602 from our ELOC. Net cash provided in 2024 was from net proceeds from our IPO of $5,524 and proceeds from notes payable – officers of $142. Net cash used in 2024 consisted of the payment of deferred offering costs of $390 and the repayment of notes payable – officers of $142.</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Amounts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shareholders of the Company, and a company whose principal stockholder is also a stockholder of the Company, advanced the Company $14. The advances accrued no interest, were unsecured and were due on demand. During the year ended December 31, 2022, the Company repaid $10 of the advances, and as of December 31, 2023 and September 17, 2024 (the date of the closing of the Company’s IPO), a total of $4 was outstanding. During the three months ended September 30,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$4.00. As of December 31, 2024, no principal or interest was due on the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to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note payable agreements with three of its officers in the aggregate total of $142. The notes accrued interest at 7.5% per annum, were unsecured and were due one year from the date of issuance. During the year ended December 31, 2024, the principal of $142 and accrued interest of $3 were repaid in the form of stock. In connection with the loans, the Company issued the officers 36,270 shares of the Company’s common stock. No amounts were owed to the officers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entered into several convertible note payable agreements with certain investors totaling $675. The notes accrue interest at 6% per annum, are unsecured and are due by April 2025. If the Company does not close an IPO transaction within 12 months of the date of the note, the Company would have the choice of paying off the principal plus all accrued and unpaid interest, or the note’s principal balance would increase to 110% of its original balance. The notes are convertible at the option of the noteholders into shares of the Company’s common stock at a price per share as defined in the agreement or will automatically be converted into shares of the Company’s common stock at 60% of the IPO price per share upon the closing of an IPO transaction. The net proceeds to the Company relating to the convertible notes, was $564. As of December 31, 2022, $675 of principal was outstanding on the notes, in addition to $17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no principal or interest payments were made on the notes and the notes accrued interest of $43. As the Company did not close its IPO transaction within 12 months of the date of the notes, the notes’ principal balance increased to 110% of their original balance, or an increase of $68. As of December 31, 2023, $743 of principal was outstanding on the notes and $60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as the Company had not closed its IPO transaction within 12 months of the date of issuance of the notes, a portion of the notes’ principal balance increased to 110% of their previous balance, or an increase of $49. As of September 17, 2024, $792 of principal was outstanding on the notes and $92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Company’s IPO on September 17, 2024, the principal amount of $792, plus the accrued and unpaid interest of $92, totaling $884, automatically converted into 368,371 shares of the Company’s common stock based on the principal and accrued interest due as of September 17, 2024. No principal or interest was owed on the notes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of Accounts Payable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converted.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its Chief Financial Officer, under which the Chief Financial Officer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our Chief Financial Officer. No amounts were owed to the Chief Financial Officer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Prevail Infoworks,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master service and technology agreement with Prevail Infoworks, Inc. (“Prevail”), pursuant to which Prevail agreed to provide certain clinical research services to the Company. As part of the agreement, the Company must make an advance payment of $900 to Prevail before they begin their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PreCheck Health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trials for patients with castrate resistant prostate cancer. In order to identify biomarkers for patient screening and therapy monitoring using carotuximab (ENV105), PreCheck will utilize its SolidTumorCheck+ platform for the somatic gene expression analysis of biopsy tissue samples derived from patients with lung and prostate cancer, as part of the Company’s ongoing clinical trials. In furtherance of these efforts, PreCheck will develop a companion diagnostic to support its identification of such patients with a three gene PCR analysis or other genetic analysis, which diagnostic test will then be developed and submitted to the FDA for castrate-resistant prostate cancer patients and for lung cancer patients on Tagrisso. In exchange for PreCheck’s services, and according to the terms of the Bioassay Services Agreement, the Company paid $900 to PreCheck as an advance for the future laboratory services to be performed. The term of the agreement is one year from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CEO.CA Technologies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such services as strategic news placement, news releases, interviews, monthly analytics and a video launch. The CEO.CA Agreement contains other customary clauses, including representations and warranties, indemnification clauses and governing law clauses.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Belair Capital Advisors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$365 fee and will issue BCA 50,000 RSUs, which will vest at the end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Cross Current Capital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$200,000 in cash and agreed to issue to the Advisor restricted shares of the Company’s common stock, issuable under the Company’s 2023 Equity Inventive Plan, in an amount equal to $500,000 (the “Shares”), which Shares will vest at the end of six months after issuance. Should the Shares be valued at less than $500 on the date of vesting, the Shares will be subject to a “true-up” pursuant to which additional shares will be issued to the holder to bring the value of to $500 as of that date (the “True-up Shares”) and the True-up Shares will be deemed fully vested as of the date of issuance. The term of the Consulting Agreement is 24 months and can be extended for another 12 months upon the written consent of both parties. The Company made the $200 payment in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Exclusive License Agreements with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four Exclusive License Agreements with Cedars which grants us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shd w:fill="FFFFFF" w:val="clear"/>
        <w:tblLayout w:type="fixed"/>
        <w:tblCellMar>
          <w:top w:w="0" w:type="dxa"/>
          <w:left w:w="0" w:type="dxa"/>
          <w:bottom w:w="0" w:type="dxa"/>
          <w:right w:w="0" w:type="dxa"/>
        </w:tblCellMar>
      </w:tblPr>
      <w:tblGrid>
        <w:gridCol w:w="75"/>
        <w:gridCol w:w="170"/>
        <w:gridCol w:w="629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our 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Bhowmick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with former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agreement with our former Chief Financial Officer that requires us to pay $50 upon the completion of raising more than $900 in a debt or an equity financing. $50 was owed as of December 31, 2024 and that amount was paid to the former CFO during the period ended March 31,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substantially in connection with our ongoing research activities, particularly as we pursue the advancement of our product candidates through clinical trials. In addition, we expect to incur additional costs associated with operating as a public company. The timing and amount of our operating expenditures will depend on numerous variables, including: the initiation, progress, timing, costs and results of the clinical trials for our product candidates or any future product candidates we may develop; the initiation, progress, timing, costs and results of nonclinical studies for our product candidates or any future product candidates we may develop; our ability to maintain our relationships with key collaborators; 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the effect of competing technological and market developments; the costs of continuing to grow our business, including hiring key personnel and maintain or acquiring operating space; market acceptance of any approved product candidates, including product pricing, as well as product coverage and the adequacy of reimbursement by third-party payors; the cost of acquiring, licensing or investing in additional businesses, products, product candidates and technologies; the cost and timing of selecting, auditing and potentially validating a manufacturing site for commercial-scale manufacturing; the cost of establishing sales, marketing and distribution capabilities for any product candidates for which we may receive regulatory approval and that we determine to commercialize; and our need to implement additional internal systems and infrastructure, including financial and reporting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require additional funding to complete the clinical development and commercialization of our product candidates, if we receive regulatory approval, and pursue in-licenses or acquisitions of other product candidates. If we receive regulatory approval for our product candidates, we expect to incur significant commercialization expenses related to product manufacturing, sales, marketing and distribution, depending on where we choose to commercialize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the rights of our current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 of the balance sheets and the reported amounts of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financial statements prospectively from the date of the change in estimate.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unaudited financial statements appearing elsewhere in this Quarterly Report, we believe the following are the critical accounting policies used in the preparation of our financial statements that require significant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Vendor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various contracts with service providers pursuant to which we pay the vendor an advance at the beginning of the contractual period. These vendor advances could be paid by us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our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our common stock, and amortization expense relating to the vendor advances was $2,170, with an unamortized balance of $845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Helena Global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we entered into an agreement with Helena Global Investment Opportunities I LTD (“Helena”) pursuant to which we will have the right to issue and sell to Helena, from time to time, and Helena shall purchase from us, up to $30,000 of the Company’s shares of common stock (the “Equity Line of Credit”). The Equity Line of Credit became available to us after we filed a registration statement on Form S-1 registering the shares issuable under the Equity Line of Credit and such registration statement became effective. In exchange for the Equity Line of Credit, we are obligated to issue Helena a certain number of shares of common stock, calculated using $900 divided by the lowest one-day VWAP during the five trading days prior to entry into the agreement. As a result, we issued Helena 670,641 shares of its common stock valued at $1,377 on the date of issuance. We accounted for the value of the shares issued as deferred offering costs. The shares vested on the date of the agreement, were issued to Helena, and were subject to a “true up” based upon the value of the stock after we filed and obtained effectiveness of the registration statement registering the ELOC shares for resale. At December 31, 2024, the balance of the deferred offering costs was $1,377.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we issued another 384,459 shares of its common stock to Helena. The fair value of the shares on the date of grant was $328. We recorded the fair value of the shares as deferred offering costs as of the same date. During the year ended December 31, 2025, we amortized $614 of these costs as shares were issued under the agreement. As of December 31, 2025, the balance of the deferred offering costs was $1,091.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of our product candidates. We expense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we compare payments made to third-party service providers to the estimated progress toward completion of the applicable research or development objectives. Such estimates are subject to change as additional information becomes available. Depending on the timing of payments to the service providers and the progress that we estimate has been made as a result of the service provided, we may record net prepaid or accrued expenses relating to these costs. As of December 31, 2024 and 2025, we have not made any material adjustments to our prior estimates of accrued 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statements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 private company until the listing of the Company’s common stock on the NYSE American on September 16, 2024 and the subsequent closing of its IPO on September 17, 2024. The Company estimates the fair value of its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or warrant grant is estimated using the Black-Scholes option-pricing model.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certain contingent liabilities that arise in the ordinary course of business. We evaluate the likelihood of an unfavorable outcome in legal or regulatory proceedings to which we are a party and record a loss contingency on an undiscounted basis when it is probable that a liability has been incurred and the amount of the loss can be reasonably estimated. These judgments are subjective and based on the status of such legal proceedings, the merits of our defenses, and consultation with legal counsel. Actual outcomes of these legal proceedings may differ materially from our estimates. We estimate accruals for legal expenses when incurred as of each balance sheet date based on the facts and circumstances known to us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we did not have, and we do not currently have, any off-balance sheet arrangements (as defined under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recently issued accounting standards that may have a material impact on our financial statements or will otherwise apply to our operations, please see Note 2 to our audited financial statements appearing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mda_002"/>
      <w:bookmarkEnd w:id="15"/>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this item is not required.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n_011"/>
      <w:bookmarkEnd w:id="16"/>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i w:val="false"/>
                  <w:caps w:val="false"/>
                  <w:smallCaps w:val="false"/>
                  <w:sz w:val="20"/>
                </w:rPr>
                <w:t>Report of Independent Registered Public Accounting Firm -Weinberg and Company, P.A</w:t>
              </w:r>
            </w:hyperlink>
            <w:r>
              <w:rPr>
                <w:rFonts w:ascii="Times New Roman;Times;Serif" w:hAnsi="Times New Roman;Times;Serif"/>
                <w:b/>
                <w:i w:val="false"/>
                <w:caps w:val="false"/>
                <w:smallCaps w:val="false"/>
                <w:sz w:val="20"/>
              </w:rPr>
              <w:t>. (PCAOB Firm ID: 572)</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report">
              <w:r>
                <w:rPr>
                  <w:rStyle w:val="InternetLink"/>
                  <w:rFonts w:ascii="Times New Roman;Times;Serif" w:hAnsi="Times New Roman;Times;Serif"/>
                  <w:b/>
                  <w:i w:val="false"/>
                  <w:caps w:val="false"/>
                  <w:smallCaps w:val="false"/>
                  <w:sz w:val="20"/>
                </w:rPr>
                <w:t xml:space="preserve">Report of Independent Registered Public Accounting Firm – Marcum LLP </w:t>
              </w:r>
            </w:hyperlink>
            <w:r>
              <w:rPr>
                <w:rFonts w:ascii="Times New Roman;Times;Serif" w:hAnsi="Times New Roman;Times;Serif"/>
                <w:b/>
                <w:i w:val="false"/>
                <w:caps w:val="false"/>
                <w:smallCaps w:val="false"/>
                <w:sz w:val="20"/>
              </w:rPr>
              <w:t>(PCAOB Firm ID: 688)</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i w:val="false"/>
                  <w:caps w:val="false"/>
                  <w:smallCaps w:val="false"/>
                  <w:sz w:val="20"/>
                </w:rPr>
                <w:t>Consolidated Balance Sheets as of December 31, 2025 and 202</w:t>
              </w:r>
            </w:hyperlink>
            <w:hyperlink w:anchor="FIN_002">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i w:val="false"/>
                  <w:caps w:val="false"/>
                  <w:smallCaps w:val="false"/>
                  <w:sz w:val="20"/>
                </w:rPr>
                <w:t>Consolidated Statements of Operations for the Years Ended December 31, 2025 and 202</w:t>
              </w:r>
            </w:hyperlink>
            <w:hyperlink w:anchor="FIN_003">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i w:val="false"/>
                  <w:caps w:val="false"/>
                  <w:smallCaps w:val="false"/>
                  <w:sz w:val="20"/>
                </w:rPr>
                <w:t>Consolidated Statements of Changes in Stockholders’ Equity (Deficit) for the Years Ended December 31, 2025 and 202</w:t>
              </w:r>
            </w:hyperlink>
            <w:hyperlink w:anchor="FIN_004">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i w:val="false"/>
                  <w:caps w:val="false"/>
                  <w:smallCaps w:val="false"/>
                  <w:sz w:val="20"/>
                </w:rPr>
                <w:t>Consolidated Statements of Cash Flows for the Years Ended December 31, 2025 and 202</w:t>
              </w:r>
            </w:hyperlink>
            <w:hyperlink w:anchor="FIN_005">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6">
              <w:r>
                <w:rPr>
                  <w:rStyle w:val="InternetLink"/>
                  <w:rFonts w:ascii="Times New Roman;Times;Serif" w:hAnsi="Times New Roman;Times;Serif"/>
                  <w:b/>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IN_001"/>
      <w:bookmarkEnd w:id="1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 of Kairos Pharma, Ltd. (the “Company”) as of December 31, 2025, the related consolidated statements of operations, changes in shareholders’ equity (deficit) and cash flows for the year ended December 31, 2025, and the related notes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report"/>
      <w:bookmarkEnd w:id="1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Kairos Pharma, Ltd. (the “Company”) as of December 31, 2024, the related consolidated statements of operations, shareholders’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from 2021 through 2025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IN_002"/>
      <w:bookmarkEnd w:id="19"/>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par value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5,768</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par value $0.001, 20,000,000 shares authorized; no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$0.001, 100,000,000 shares authorized;  20,821,353 and 13,736,597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IN_003"/>
      <w:bookmarkEnd w:id="20"/>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5"/>
        <w:gridCol w:w="60"/>
        <w:gridCol w:w="146"/>
        <w:gridCol w:w="1152"/>
        <w:gridCol w:w="99"/>
        <w:gridCol w:w="62"/>
        <w:gridCol w:w="146"/>
        <w:gridCol w:w="1152"/>
        <w:gridCol w:w="113"/>
      </w:tblGrid>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LOSS PER COMMON SHARE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18,427,787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11,356,451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IN_004"/>
      <w:bookmarkEnd w:id="21"/>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0"/>
        <w:gridCol w:w="60"/>
        <w:gridCol w:w="60"/>
        <w:gridCol w:w="1100"/>
        <w:gridCol w:w="60"/>
        <w:gridCol w:w="60"/>
        <w:gridCol w:w="301"/>
        <w:gridCol w:w="559"/>
        <w:gridCol w:w="60"/>
        <w:gridCol w:w="60"/>
        <w:gridCol w:w="143"/>
        <w:gridCol w:w="1422"/>
        <w:gridCol w:w="60"/>
        <w:gridCol w:w="60"/>
        <w:gridCol w:w="214"/>
        <w:gridCol w:w="1156"/>
        <w:gridCol w:w="95"/>
        <w:gridCol w:w="60"/>
        <w:gridCol w:w="140"/>
        <w:gridCol w:w="635"/>
        <w:gridCol w:w="110"/>
      </w:tblGrid>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10,562,640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the closing of the initial public offering,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r>
              <w:rPr>
                <w:rFonts w:ascii="Times New Roman;Times;Serif" w:hAnsi="Times New Roman;Times;Serif"/>
              </w:rPr>
              <w:t>4,650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4,652</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convertible notes payable and accrued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warrants issued in connection with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 ended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of common shares and pre-funded warrants,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issued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through equity line of credit,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recorded as a vendor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through cashless exercise of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FIN_005"/>
      <w:bookmarkEnd w:id="22"/>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3"/>
        <w:gridCol w:w="60"/>
        <w:gridCol w:w="205"/>
        <w:gridCol w:w="932"/>
        <w:gridCol w:w="139"/>
        <w:gridCol w:w="87"/>
        <w:gridCol w:w="205"/>
        <w:gridCol w:w="932"/>
        <w:gridCol w:w="112"/>
      </w:tblGrid>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2"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vendor advances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issued in connection with the conversion of accounts payable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warrants issued in connection with convertible notes payable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w:t>
            </w:r>
          </w:p>
        </w:tc>
        <w:tc>
          <w:tcPr>
            <w:tcW w:w="1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(3,441</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and exercise of prefunded warrants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equity line of credit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common stock issued for cash in connection with the closing of the initial public offering</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notes payable - officers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notes payable - officers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cash flows disclosures: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non-cash financing disclosures: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deferred offering costs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vendor advances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deferred offering costs to shareholders’ equity</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payable and accrued interest to shareholders’ equity</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accounts payable to shareholders’ equity</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amounts due to related parties to shareholders’ equity</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IN_006"/>
      <w:bookmarkEnd w:id="23"/>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 and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(the “Company” or “Kairos”) was incorporated on June 17, 2013 under the laws of the state of California as NanoGB13, Inc. The Company changed its name to Kairos Pharma, Ltd. on July 15, 2016 and subsequently converted into a Delaware corporation under the same name, Kairos Pharma, Ltd., on May 10, 2023. The Company is an early-stage biotechnology company focused on the development of immunotherapy and cell therapy treatments for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settlement of liabilities and commitments in the normal course of business. As reflected in the accompanying consolidated financial statements, 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accompanying notes have been prepared in accordance with accounting principles generally accepted in the United States of America (“U.S. GAAP”). The accompanying consolidated financial statements include the accounts of the Company and its former wholly-owned subsidiary, Enviro Therapeutics, Inc. (“Enviro”) which was dissolved in October 2025.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U.S. requires management to make estimates and assumptions that affect the reported amounts of assets and liabilities, disclosure of contingent assets and liabilities at the financial statement date and reported amounts of revenue and expenses during the reporting period. Significant estimates are used in the valuation of accruals for potential liabilities, amortization of vendor advances and deferred offering costs, valuations of stock-based compensation, the realization of deferred tax assets, and impairment analysis and useful life for intangible assets among others.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 of credit risk, consist primarily of cash deposits.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three months or less on the date of purchase to be cash equivalents. The Company’s cash equivalents consisted of $4,326 in money market funds as of December 31, 2025. There were no cash equivalents as of December 31, 2024. The underlying securities in the money market funds held by the Company are all government backed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stated at fair value as of the date acquired, less accumulated amortization. Amortization is calculated based on the estimated useful lives of the assets, which were determined to be five years, using the straight-line method. The intangible asset consists of a licensing agreement that the Company acquired through its acquisition of Enviro during the year ended December 31, 2021, with an acquisition cost of $800. Amortization expense relating to the intangible asset during the years ended December 31, 2025 and 2024 was $160, with an unamortized balance of $62 and $222 at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provisions of ASC Topic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which addresses financial accounting and reporting for the impairment of long-lived assets. A long-lived asset that is held and used should be tested for recoverability whenever events or changes in circumstances indicate that the carrying amount of the asset group may not be recoverable. If the estimated undiscounted future cash flows are less than the carrying value, an impairment determination is required. In that event, a loss is recognized based on the amount by which the carrying amount exceeds the fair value of the long-lived assets. No impairment was recorded relating to the Company’s intangible asset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applicable to common stockholders by the weighted average number of outstanding common shares during the period. Shares of restricted stock are included in the basic weighted average number of common shares outstanding from the time they vest.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basic and diluted shares outstanding were the same, as potentially dilutive shares were considered anti-dilutive. The potentially dilutive securities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POTENTIALLY DILUTIVE SECURITIES </w:t>
      </w:r>
    </w:p>
    <w:tbl>
      <w:tblPr>
        <w:tblW w:w="7513" w:type="dxa"/>
        <w:jc w:val="left"/>
        <w:tblInd w:w="0" w:type="dxa"/>
        <w:tblLayout w:type="fixed"/>
        <w:tblCellMar>
          <w:top w:w="0" w:type="dxa"/>
          <w:left w:w="0" w:type="dxa"/>
          <w:bottom w:w="0" w:type="dxa"/>
          <w:right w:w="0" w:type="dxa"/>
        </w:tblCellMar>
      </w:tblPr>
      <w:tblGrid>
        <w:gridCol w:w="3470"/>
        <w:gridCol w:w="60"/>
        <w:gridCol w:w="109"/>
        <w:gridCol w:w="1785"/>
        <w:gridCol w:w="60"/>
        <w:gridCol w:w="60"/>
        <w:gridCol w:w="131"/>
        <w:gridCol w:w="1763"/>
        <w:gridCol w:w="75"/>
      </w:tblGrid>
      <w:tr>
        <w:trPr/>
        <w:tc>
          <w:tcPr>
            <w:tcW w:w="3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278,188</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172,000</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450,188</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Offering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delayed or abandoned, the deferred offering costs will be expensed immediately as a charge to operating expenses in the Company’s statement of operations. As of December 31, 2024, the Company incurred $1,377 of deferred offering costs related to the Company’s pending equity line of credit (“ELOC”) offering. During the year ended December 31, 2025, the Company issued common shares with a fair value of $328 related to the ELOC. The Company’s registration statement registering the ELOC was declared effective on April 24, 2025, and the Company will amortize these costs as cost of capital as funds are raised, based upon the Company’s estimate of the ultimate funds raised under the ELOC. During the year ended December 31, 2025, $614 of deferred offering costs were amortized as cost of capital, and as of December 31, 2025, total deferred offering costs were $1,091 related to the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assets and liabilities based on the exchange price in U.S. dollars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uses a fair value hierarchy with three levels of inputs, of which the first two are considered observable and the last unobservable, to measure fair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 —</w:t>
            </w:r>
            <w:r>
              <w:rPr>
                <w:rFonts w:ascii="Times New Roman;Times;Serif" w:hAnsi="Times New Roman;Times;Serif"/>
                <w:b w:val="false"/>
                <w:i w:val="false"/>
                <w:caps w:val="false"/>
                <w:smallCaps w:val="false"/>
                <w:sz w:val="20"/>
              </w:rPr>
              <w:t xml:space="preserve"> Quoted prices in active markets for identical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 —</w:t>
            </w:r>
            <w:r>
              <w:rPr>
                <w:rFonts w:ascii="Times New Roman;Times;Serif" w:hAnsi="Times New Roman;Times;Serif"/>
                <w:b w:val="false"/>
                <w:i w:val="false"/>
                <w:caps w:val="false"/>
                <w:smallCaps w:val="false"/>
                <w:sz w:val="20"/>
              </w:rPr>
              <w:t xml:space="preserv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 —</w:t>
            </w:r>
            <w:r>
              <w:rPr>
                <w:rFonts w:ascii="Times New Roman;Times;Serif" w:hAnsi="Times New Roman;Times;Serif"/>
                <w:b w:val="false"/>
                <w:i w:val="false"/>
                <w:caps w:val="false"/>
                <w:smallCaps w:val="false"/>
                <w:sz w:val="20"/>
              </w:rPr>
              <w:t xml:space="preserve"> Unobservable inputs that are supported by little or no market activity and that are significant to the fair value of the assets or liabilities.</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such as cash, and accounts payable and accrued liabilities, approximate the related fair values due to the short-term maturities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consisted of money market funds at December 31, 2025. Money market funds were valued by the Company using quoted prices in active markets for identical securities, which represent a Level 1 measurement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is based on pretax financial accounting income. Deferred tax assets and liabilities are recognized for the expected tax consequences of temporary differences between the tax bases of assets and liabilities and their reported amounts. Valuation allowances are recorded to reduce deferred tax assets to the amount that will more likely than not be realized. The Company recorded a 100% valuation allowance against its deferred tax assets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percent likely of being realized upon settlement. The Company classifies the liability for unrecognized tax benefits as current to the extent that the Company anticipates payment (or receipt) of cash within one year. Interest and penalties related to uncertain tax positions are recognized in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Patents and Patent Application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its patents and underlying technology have continuing value, the amount of future benefits to be derived from the patents is uncertain. Patent costs are therefore expensed as incurred and are included in general and administrative expenses on the accompanying consolidated Statements of Operations. Patent expenses were $79 and $134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and Development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its research and development costs as incurred. Research and developments costs for the years ended December 31, 2025 and 2024 were $2,135 and $414,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Contract Costs and Accruals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research and development-related contracts with companies inside the United States. These agreements are generally cancellable, and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certain warrants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statements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 private company until the completion of its IPO on September 17, 2024. Prior to the IPO, the Company estimated the fair value of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 Subsequent to September 17, 2024, the Company estimates the fair value of common stock based on its historical trading price at the date of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or warrant grant is estimated using the Black-Scholes option-pricing model. Until the completion of its IPO,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or warrants. The expected term of stock options or warrants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Marketing and Advertising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were not material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VENDOR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Vendor Advances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contracts with service providers pursuant to which the Company pays the vendor an advance at the beginning of the contractual period. These vendor advances could be paid by the Company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the Company’s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the Company’s common stock, and amortization expense relating to the vendor advances was $2,170, with an unamortized balance of $845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advances consisted of the following at December 31, 2025, and 2024:</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VENDOR ADVANCES </w:t>
      </w:r>
    </w:p>
    <w:tbl>
      <w:tblPr>
        <w:tblW w:w="7119" w:type="dxa"/>
        <w:jc w:val="left"/>
        <w:tblInd w:w="0" w:type="dxa"/>
        <w:tblLayout w:type="fixed"/>
        <w:tblCellMar>
          <w:top w:w="0" w:type="dxa"/>
          <w:left w:w="0" w:type="dxa"/>
          <w:bottom w:w="0" w:type="dxa"/>
          <w:right w:w="0" w:type="dxa"/>
        </w:tblCellMar>
      </w:tblPr>
      <w:tblGrid>
        <w:gridCol w:w="3005"/>
        <w:gridCol w:w="60"/>
        <w:gridCol w:w="340"/>
        <w:gridCol w:w="1554"/>
        <w:gridCol w:w="95"/>
        <w:gridCol w:w="60"/>
        <w:gridCol w:w="379"/>
        <w:gridCol w:w="1516"/>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Prevail Infoworks (a)</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PreCheck Health Services (b)</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CEO.CA Technologies (c)</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Belair Capital Advisors (d)</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Cross Current Capital (e)</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advances, gross</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Vendor advances, net</w:t>
            </w:r>
          </w:p>
        </w:tc>
        <w:tc>
          <w:tcPr>
            <w:tcW w:w="60"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unamortized balance of $845 as of December 31, 2025, will be fully amortized during the year ending December 31, 2026.</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2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w:t>
            </w:r>
          </w:p>
        </w:tc>
        <w:tc>
          <w:tcPr>
            <w:tcW w:w="387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Prevail Infoworks,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Company entered into a master service and technology agreement with Prevail Infoworks, Inc. (“Prevail”), pursuant to which Prevail agreed to provide certain clinical research services to the Company. As part of the agreement, the Company was required to make an advance payment of $900 to Prevail before commencement of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 and it is included in vendor advances on the accompanying Balance Sheet as of December 31, 2025 and 2024. The unamortized balance of the advance was $500 as of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245"/>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w:t>
            </w:r>
          </w:p>
        </w:tc>
        <w:tc>
          <w:tcPr>
            <w:tcW w:w="45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PreCheck Health Services,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clinical trials for patients with castrate resistant prostate cancer. In exchange for PreCheck’s services, and according to the terms of the Bioassay Services Agreement, the Company paid $900 to PreCheck as an advance for the future laboratory services to be performed. The payment of $900 is included in vendor advances on the accompanying Balance Sheet as of December 31, 2025 and 2024. The term of the agreement is one year from the effective date.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3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w:t>
            </w:r>
          </w:p>
        </w:tc>
        <w:tc>
          <w:tcPr>
            <w:tcW w:w="42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CEO.CA Technologies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services such as strategic news placement, news releases, interviews, monthly analytics and a video launch. The CEO.CA Agreement contains other customary clauses, including representations and warranties, indemnification clauses and governing law clauses. The payment of $250 is included in vendor advances on the accompanying Balance Sheet as of December 31, 2025 and 2024.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245"/>
        <w:gridCol w:w="4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w:t>
            </w:r>
          </w:p>
        </w:tc>
        <w:tc>
          <w:tcPr>
            <w:tcW w:w="4310"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Belair Capital Advisors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provided by BCA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a $365 fee and will issue BCA 50,000 RSUs, which will vest at the end of six months following the date of issuance. The payment of $365 is included in vendor advances on the accompanying Balance Sheet as of December 31, 2025 and 2024.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3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w:t>
            </w:r>
          </w:p>
        </w:tc>
        <w:tc>
          <w:tcPr>
            <w:tcW w:w="42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Cross Current Capital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 in cash and agreed to issue to the Advisor $500 of restricted shares of the Company’s common stock under the Company’s 2023 Plan, which was calculated at 367,647 shares (the “Shares”) as of the date of the agreement and were issuable at December 31, 2024. The term of the Consulting Agreement is 24 months and can be extended for another 12 months upon the written consent of both parties. The Company made the $200 payment in October 2024. The payment of $200 and the value of the shares issued of $500 are included in vendor advances on the accompanying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367,647 shares issuable in 2024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All the issuable shares were issued during the year ended December 31, 2025. The fair value of the additional shares on the date of grant was $156. The Company recorded the fair value of the shares as a vendor advance as of the same date. The unamortized balance of the advance was $345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Helena Global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entered into an agreement with Helena Global Investment Opportunities I LTD (“Helena”) pursuant to which the Company will have the right to issue and sell to Helena, from time to time, and Helena shall purchase from the Company, up to $30,000 of the Company’s shares of common stock (the “Equity Line of Credit”). The Equity Line of Credit became available to the Company after the Company filed a registration statement on Form S-1 registering the shares issuable under the Equity Line of Credit and such registration statement became effective. In exchange for the Equity Line of Credit, the Company is obligated to issue Helena a certain number of shares of common stock, calculated using $900 divided by the lowest one-day VWAP during the five trading days prior to entry into the agreement. As a result, the Company issued Helena 670,641 shares of its common stock valued at $1,377 on the date of issuance. The Company accounted for the value of the shares issued as deferred offering costs. The shares vested on the date of the agreement, were issued to Helena, and were subject to a “true up” based upon the value of the stock after the company filed and obtained effectiveness of the registration statement registering the ELOC shares for resale. At December 31, 2024, the balance of the deferred offering costs was $1,377.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Company issued another 384,459 shares of its common stock to Helena. The fair value of the shares on the date of grant was $328. The Company recorded the fair value of the shares as deferred offering costs as of the same date. During the year ended December 31, 2025, the Company amortized $614 of these costs as shares were issued under the agreement. As of December 31, 2025, the balance of the deferred offering costs was $1,091.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Authorized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as filed with the State of Delaware on May 10, 2023, following the Company’s conversion from a California corporation into a Delaware corporation, authorizes the Company to issue up to 120,000,000 shares, consisting of 100,000,000 shares of common stock, par value of $0.001 per share, and 20,000,000 shares of preferred stock, par value $0.001 per share. Holders of shares of common stock have full voting rights, one vote for each share held of record. Shareholders are entitled to receive dividends as may be declared by the board of directors out of funds legally available and share pro rata in any distributions with shareholders upon liquidation. Shareholders have no conversion, pre-emptive or subscription rights. All outstanding shares of common stock are fully paid and non-assessable. As of December 31, 2025 and 2024, there were 20,821,353 and 13,736,597 shares of common stock issued and outstanding, respectively, and no shares of preferred stock outstanding,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IPO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the Company completed the IPO of its common stock in which the Company issued and sold 1,550,000 shares of its common stock at a public offering price of $4.00 per share. The total gross proceeds of the IPO were $6,200 and the Company raised $5,524 in net proceeds after deducting underwriting discounts and commissions and offering expenses payable by the Company, excluding deferred offering costs of $872. The underwriters were granted a 45-day option to purchase up to an additional 232,500 shares of common stock from the Company. No additional shares were sold under the 45-day option.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pursuant to the underwriting agreement, the Company issued common stock purchase warrants to the underwriters to purchase up to 108,500 shares of the Company’s common stock, at an exercise price of $4.80 per share, subject to adjustments. The warrants will be exercisable during the period commencing on March 16, 2025 and ending on September 17, 2029, and may be exercised on a cashless basis under certain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Convertible Notes Payable and Accrued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entered into several convertible note payable agreements with certain investors totaling $675, with adjustments increasing the principal balance to $792 as of September 17, 2024, the date of the Company’s IPO. Upon closing of the Company’s IPO, the principal amount of $792, plus the accrued and unpaid interest of $92, totaling $884, automatically converted into 368,371 shares of the Company’s common stock based on the principal and accrued interest due as of September 17,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Accounts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forgiven. The fair value of the shares was $1,250. The Company recorded the difference between the fair value of the shares and the debt forgiven as a financing cost of $500, which was recorded during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 The fair value of the shares was $333. The Company recorded the difference between the fair value of the shares and the debt forgiven as a financing cost of $133, which was recorded during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its Chief Financial Officer (“CFO”), under which he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the CFO. The fair value of the shares was $206. The Company recorded the difference between the fair value of the shares and the accounts payable forgiven as a financing cost of $34, which was recorded during the year ended December 31, 2024. No amounts were owed to the CFO as of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during the year ended December 31, 2024, the company issued 514,940 shares of its common stock with a fair value of $1,789 relating to the conversion of its account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Amounts Due to Related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shareholders of the Company, and a company whose principal stockholder is also a stockholder of the Company, advanced the Company $14. As of September 17, 2024, the date of the closing of the Company’s IPO, a total of $4 was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 As the officers received 666 additional shares based on the 40% discounted price, the fair value of those shares, $3, was recorded as a financing cost during the year ended December 31, 2024. As of December 31, 2024, no principal or interest was due on the advances.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Advances to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For the services rendered thereunder, the Company agreed to issue to the Advisor $500 of restricted shares of the Company’s common stock under the Company’s 2023 Plan, which was calculated at 367,647 shares (the “Shares”) as of the date of the agreement. The Shares were subsequently issued to Cross Current in 2025. The value of the shares issued of $500 are included in Vendor Advances on the accompanying Balance Sheet as of December 31, 2025 and 2024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The fair value of the additional shares on the date of grant was $157. The Company recorded the fair value of the shares as a Vendor Advance as of the same date (see Note 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Private Financing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(“SPA”) and registration rights agreement with an investor for the sale and issuance of 2,500,000 units (the “Pre-Funded Units”), with each Pre-Funded Unit consisting of a pre-funded warrant to purchase one share of common stock, exercisable for $0.001 per share, and a common warrant to purchase one and one half shares of common stock (an aggregate of 3,750,000), exercisable at $1.399 per share. On January 16, 2025, the Company closed on the sale of the Pre-Funded Units for a total purchase price of $3,500 (or $1.40 per Pre-Funded Unit). Net proceeds received by the Company relating to the financing, and subsequent exercise of prefunded warrants was $3,058.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$0.001 per share and are immediately exercisable and will expire when exercised in full. The common warrants have an exercise price of $1.40 per share, will be exercisable six months from issuance and will expire five and a half years from the issuance date. During the year ended December 31, 2025, the investor exercised 2,500,000 shares of the pre-funded warrants and as of December 31, 2025, there were no pre-funded shares remaining unexercised.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Exercise of the Company’s Equity Line of Credit (ELOC)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in connection with its ELOC agreement with Helena, the Company sold 3,510,000 shares of its common stock to Helena for net proceeds of $2,988, which includes the allocation of deferred offering costs of $614. The shares were issued to Helena during the year ended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Adoption of the 2023 Equity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and stockholders adopted the 2023 Equity Incentive Plan (the “2023 Plan”). Under the 2023 Plan, the Company may grant incentive stock options to employees, including employees of any parent or subsidiary, and nonstatutory stock options, stock appreciation rights, restricted stock awards, RSU awards, performance awards and other forms of stock compensation to employees, directors and consultants, including employees and consultants of the Company’s affiliates. As approved, a total of 1,650,000 shares of common stock were initially reserved for issuance under the 2023 Plan. As of December 31, 2025, and 2024, a total of 877,395 shares and 1,478,000 remained available for issuance under the 2023 Plan,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Grant of Restricted Stock Units (RSUs)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summarizes restricted common stock activity during the years ended December 31, 2024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COMMON STOCK ACTIVITY </w:t>
      </w:r>
    </w:p>
    <w:tbl>
      <w:tblPr>
        <w:tblW w:w="7107" w:type="dxa"/>
        <w:jc w:val="left"/>
        <w:tblInd w:w="0" w:type="dxa"/>
        <w:tblLayout w:type="fixed"/>
        <w:tblCellMar>
          <w:top w:w="0" w:type="dxa"/>
          <w:left w:w="0" w:type="dxa"/>
          <w:bottom w:w="0" w:type="dxa"/>
          <w:right w:w="0" w:type="dxa"/>
        </w:tblCellMar>
      </w:tblPr>
      <w:tblGrid>
        <w:gridCol w:w="2465"/>
        <w:gridCol w:w="60"/>
        <w:gridCol w:w="95"/>
        <w:gridCol w:w="1394"/>
        <w:gridCol w:w="95"/>
        <w:gridCol w:w="60"/>
        <w:gridCol w:w="260"/>
        <w:gridCol w:w="854"/>
        <w:gridCol w:w="95"/>
        <w:gridCol w:w="60"/>
        <w:gridCol w:w="384"/>
        <w:gridCol w:w="1210"/>
        <w:gridCol w:w="75"/>
      </w:tblGrid>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Company’s Compensation Committee of the board of directors approved the grant of an aggregate total of 667,940 RSUs to the Company’s executive officers and directors for their services to be performed from October 2025 to October 2026. The RSUs were granted under the Company’s 2023 Equity Incentive Plan and were valued at $875 on the date of grant. Additionally, the Company’s independent directors received an aggregate total of 57,252 RSUs, with a value of $75 on the date of grant. Each RSU represents the right to receive one share of the Company’s common stock upon vesting. The RSUs will vest in full on October 8, 2026, the first anniversary following the grant date, subject to the recipient’s continuous service with the Company through such vesting date. Notwithstanding the foregoing vesting schedule, in the event of a change in control of the Company (as defined in the Plan) occurring prior to the vesting date, all unvested RSUs will become fully vested immediately upon the occurrence of such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with Belair Capital Advisors Inc. (“Belair”). During the one-year term of the agreement, in exchange for its services, the Company issued Belair 50,000 RSUs, which vest nine months from the date of issuance. The fair value of the shares on the date of grant was $100, which value will be amortized over the one-year service period of the agreement. None of these shares vested or were issued during the year ended December 31, 2024. During the years ended December 31, 2025, the 50,000 RSUs vested and the shares were issued to Belair. As of December 31, 2025, no RSUs remained unvested.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Company’s IPO, the Company entered into agreements with each of its four officers. Such agreements provided for annual grants of RSUs in accordance with the terms of the Company’s 2023 Equity Incentive Plan. The RSUs vest over one- or two-year periods and are subject to full acceleration of vesting upon the sale of the Company. Upon the closing of the Company’s IPO in September 2024, the Company granted the officers 92,000 RSUs. The fair value of the shares on the date of grant was $226. None of these RSUs vested during the year ended December 31, 2024. During the years ended December 31, 2025, a total of 78,000 RSUs vested, and the shares were issued to the officers. As of December 31, 2025, 14,000 RSUs remained unvested.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Company’s IPO, the Company entered into agreements with each of its three independent directors. The Company’s policy provides that, upon initial election or appointment to its board of directors, each new non-employee director will be granted a one-time grant, or Director Initial Grant, that will vest in substantially equal annual installments over a period of three years. The Director Initial Grant is subject to full acceleration of vesting upon the sale of the Company, in accordance with the terms of the Company’s 2023 Plan. In 2024, a total of 30,000 RSUs were granted to the directors. The fair value of the RSUs on the date of grant was $43. None of the RSUs vested during the year ended December 31, 2024. During the years ended December 31, 2025, an additional 20,120 RSUs were granted to the Company’s new director with a fair value of $31. During the year ended December 31, 2025, a total of 16,707 shares vested, and 33,413 RSUs remained unvested.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the Company recorded $482 of stock compensation-related expense for the fair value vesting of restricted common stock. As of December 31, 2025, $813 of unamortized compensation remained.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Company’s warrant activities for years ended December 31, 2024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 ACTIVITY </w:t>
      </w:r>
    </w:p>
    <w:tbl>
      <w:tblPr>
        <w:tblW w:w="7275" w:type="dxa"/>
        <w:jc w:val="left"/>
        <w:tblInd w:w="0" w:type="dxa"/>
        <w:tblLayout w:type="fixed"/>
        <w:tblCellMar>
          <w:top w:w="0" w:type="dxa"/>
          <w:left w:w="0" w:type="dxa"/>
          <w:bottom w:w="0" w:type="dxa"/>
          <w:right w:w="0" w:type="dxa"/>
        </w:tblCellMar>
      </w:tblPr>
      <w:tblGrid>
        <w:gridCol w:w="3560"/>
        <w:gridCol w:w="60"/>
        <w:gridCol w:w="60"/>
        <w:gridCol w:w="1055"/>
        <w:gridCol w:w="95"/>
        <w:gridCol w:w="60"/>
        <w:gridCol w:w="140"/>
        <w:gridCol w:w="1220"/>
        <w:gridCol w:w="60"/>
        <w:gridCol w:w="60"/>
        <w:gridCol w:w="166"/>
        <w:gridCol w:w="664"/>
        <w:gridCol w:w="75"/>
      </w:tblGrid>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2.40 – 4.80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6,670,700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 – 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(2,517,850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 – 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 – 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concerning outstanding and exercisable warrants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OUTSTANDING AND EXERCISABLE WARRANTS</w:t>
      </w:r>
    </w:p>
    <w:tbl>
      <w:tblPr>
        <w:tblW w:w="8064" w:type="dxa"/>
        <w:jc w:val="left"/>
        <w:tblInd w:w="0" w:type="dxa"/>
        <w:tblLayout w:type="fixed"/>
        <w:tblCellMar>
          <w:top w:w="0" w:type="dxa"/>
          <w:left w:w="0" w:type="dxa"/>
          <w:bottom w:w="0" w:type="dxa"/>
          <w:right w:w="0" w:type="dxa"/>
        </w:tblCellMar>
      </w:tblPr>
      <w:tblGrid>
        <w:gridCol w:w="155"/>
        <w:gridCol w:w="890"/>
        <w:gridCol w:w="60"/>
        <w:gridCol w:w="60"/>
        <w:gridCol w:w="73"/>
        <w:gridCol w:w="1207"/>
        <w:gridCol w:w="60"/>
        <w:gridCol w:w="60"/>
        <w:gridCol w:w="143"/>
        <w:gridCol w:w="1061"/>
        <w:gridCol w:w="60"/>
        <w:gridCol w:w="60"/>
        <w:gridCol w:w="200"/>
        <w:gridCol w:w="630"/>
        <w:gridCol w:w="60"/>
        <w:gridCol w:w="60"/>
        <w:gridCol w:w="60"/>
        <w:gridCol w:w="980"/>
        <w:gridCol w:w="60"/>
        <w:gridCol w:w="60"/>
        <w:gridCol w:w="124"/>
        <w:gridCol w:w="916"/>
        <w:gridCol w:w="60"/>
        <w:gridCol w:w="60"/>
        <w:gridCol w:w="200"/>
        <w:gridCol w:w="630"/>
        <w:gridCol w:w="75"/>
      </w:tblGrid>
      <w:tr>
        <w:trPr/>
        <w:tc>
          <w:tcPr>
            <w:tcW w:w="104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Exercisable</w:t>
            </w:r>
          </w:p>
        </w:tc>
        <w:tc>
          <w:tcPr>
            <w:tcW w:w="75" w:type="dxa"/>
            <w:tcBorders/>
            <w:vAlign w:val="center"/>
          </w:tcPr>
          <w:p>
            <w:pPr>
              <w:pStyle w:val="TableContents"/>
              <w:bidi w:val="0"/>
              <w:spacing w:before="0" w:after="283"/>
              <w:jc w:val="left"/>
              <w:rPr/>
            </w:pPr>
            <w:r>
              <w:rPr/>
              <w:t> </w:t>
            </w:r>
          </w:p>
        </w:tc>
      </w:tr>
      <w:tr>
        <w:trPr/>
        <w:tc>
          <w:tcPr>
            <w:tcW w:w="104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5" w:type="dxa"/>
            <w:tcBorders/>
            <w:vAlign w:val="center"/>
          </w:tcPr>
          <w:p>
            <w:pPr>
              <w:pStyle w:val="TableContents"/>
              <w:bidi w:val="0"/>
              <w:spacing w:before="0" w:after="283"/>
              <w:jc w:val="center"/>
              <w:rPr/>
            </w:pPr>
            <w:r>
              <w:rPr/>
              <w:t> </w:t>
            </w:r>
          </w:p>
        </w:tc>
      </w:tr>
      <w:tr>
        <w:trPr/>
        <w:tc>
          <w:tcPr>
            <w:tcW w:w="104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0.40 - 0.46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0.46</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1.23 - 2.40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Warrant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as amended on January 16, 2025, the Company entered into a securities purchase agreement (“SPA”) and registration rights agreement with a select investor. In connection with the agreement, on January 16, 2025, the Company issued the investor a pre-funded warrant to purchase up to 2,500,000 shares of the Company’s common stock at an exercise price of $0.001 per share. The warrant is immediately exercisable and will expire when exercised in full. During the years ended December 31, 2025, the SPA investor exercised 2,500,000 shares of the pre-funded warrant, and as of December 31, 2025, there were no shares remaining unexercised. The investor also received a warrant to purchase up to 3,750,000 shares of the Company’s common stock at an exercise price of $1.40 per share. The warrant will be exercisable six months from the date of issuance (July 2025) and will expire five years from the issuance date. All the warrant shares were exercisable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issued a warrant to purchase common stock to the underwriters of the SPA for the purchase of 175,000 shares of the Company’s common stock at an exercise price of $1.40 per share. The warrant vested upon grant. The warrant was issued to the underwriters as they were the placement agents for the SPA noted above. The warrant expires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2025, the Company issued warrants to purchase common stock to the underwriters of the SPA for the purchase of 35,700 shares of the Company’s common stock at exercise prices of $0.40 and $0.46 per share. The warrants vested upon grant. The warrants were issued to the underwriters as they were the placement agents for the SPA noted above. The warrants expire five years from the date of grant. During the year ended December 31, 2025, a total of 17,850 shares were exercised under a cashless exercise, leaving 17,850 shares outstanding and exercisable. A total of 11,402 shares of the Company’s common stock were issued pursuant to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issued warrants to purchase common stock to the underwriters of the SPA for the purchase of 210,000 shares of the Company’s common stock at an exercise price of $1.23 per share. The warrants vested upon grant. The warrants were issued to the underwriters as they acted as placement agents for the SPA noted above. The warrants expire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upon the closing of the IPO, the Company issued stock warrants to the participating underwriters for the purchase of up to 108,500 shares of the Company’s common stock, at an exercise price of $4.80 per share, subject to adjustment. The warrants will be exercisable during the period commencing on March 16, 2025, and ending on September 16, 2029, and may be exercised on a cashless basis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upon the closing of the IPO, the Company issued a stock warrant to the underwriters for the purchase of 19,688 shares of common stock at an exercise price of $2.40 per share. The warrant vested upon grant. The warrant was issued to the underwriters as they were the placement agents for the convertible notes payable (see Note 5). The Company valued the warrant using a Black-Scholes pricing model with the following weighted average assumptions: fair value of the Company’s stock price of $2.46 per share, the expected term of 2.5 years, volatility of 100%, dividend rate of 0%, and risk-free interest rate of 3.49%. The fair value of the warrant of $29 was recorded to General and Administrative expense during the year ended December 31, 2024. The warrant expires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for warrant shares outstanding as of December 31, 2025 was $4.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Exclusive License Agreements with Cedars-Sinai Medical Center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four Exclusive License Agreements with Cedars, each of which grants the Company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(for items 1 and 2) and $500 (for item 3) upon the successful completing of Phase II clinical trial for a product and receipt of Food and Drug Administration (“FDA”)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or equivalent foreign regulatory approval in a non-United States major commercial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cumulative net sales exceeding $5,000.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the successful completing of Phase II clinical trial and receipt of Food and Drug Administration (“FDA”) or equivalent regulatory agency in another jurisdiction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 upon cumulative net sales exceeding $50,000.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 amounts were due under the Exclusive License Agreements between Cedars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Enviro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Novation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October 1, 2025, the Board approved the Company’s entry into a novation agreement (the “Tracon Novation Agreement”) with Tracon Pharmaceuticals, Inc. (the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Lonza Sales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 As of December 31, 2025, Lonza’s testing and preparation of the ENV105 antibody had yet to be completed and the Company had yet to make any payments to Lonza.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it is not currently the subject of any material legal proceeding. In the future, the Company may be involved in actual and/or threatened legal proceedings, claims, investigations and government inquiries arising in the ordinary course of our business, including legal proceedings, claims, investigations and government inquiries involving intellectual property, data privacy and security, other torts, illegal or objectionable content, consumer protection, securities, employment, contractual rights, civil rights infringement, false or misleading advertising, or other legal claims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A full valuation allowance is established against all net deferred tax assets as of December 31, 2025 and 2024 based on estimates of recoverability. While the Company has optimistic plans for its business strategy, it determined that such a valuation allowance was necessary given the current and expected near-term losses and the uncertainty with respect to its ability to generate sufficient profits from its business model. Because of the impacts of the valuation allowance, there was no income tax expense or benefit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differences between the effective and statutory income tax rates for the years ended December 31, 2025 and 2024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RECONCILIATION OF THE DIFFERENCES BETWEEN THE EFFECTIVE AND STATUTORY INCOME TAX RATES </w:t>
      </w:r>
    </w:p>
    <w:tbl>
      <w:tblPr>
        <w:tblW w:w="9180" w:type="dxa"/>
        <w:jc w:val="left"/>
        <w:tblInd w:w="0" w:type="dxa"/>
        <w:tblLayout w:type="fixed"/>
        <w:tblCellMar>
          <w:top w:w="0" w:type="dxa"/>
          <w:left w:w="0" w:type="dxa"/>
          <w:bottom w:w="0" w:type="dxa"/>
          <w:right w:w="0" w:type="dxa"/>
        </w:tblCellMar>
      </w:tblPr>
      <w:tblGrid>
        <w:gridCol w:w="4835"/>
        <w:gridCol w:w="60"/>
        <w:gridCol w:w="155"/>
        <w:gridCol w:w="705"/>
        <w:gridCol w:w="95"/>
        <w:gridCol w:w="60"/>
        <w:gridCol w:w="83"/>
        <w:gridCol w:w="717"/>
        <w:gridCol w:w="290"/>
        <w:gridCol w:w="60"/>
        <w:gridCol w:w="202"/>
        <w:gridCol w:w="658"/>
        <w:gridCol w:w="95"/>
        <w:gridCol w:w="60"/>
        <w:gridCol w:w="83"/>
        <w:gridCol w:w="717"/>
        <w:gridCol w:w="30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statutory rates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 against net deferred tax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significant components of the deferred tax assets are summarized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SIGNIFICANT COMPONENTS OF THE DEFERRED TAX ASSETS AND LIABILITIES </w:t>
      </w:r>
    </w:p>
    <w:tbl>
      <w:tblPr>
        <w:tblW w:w="5165" w:type="dxa"/>
        <w:jc w:val="left"/>
        <w:tblInd w:w="0" w:type="dxa"/>
        <w:tblLayout w:type="fixed"/>
        <w:tblCellMar>
          <w:top w:w="0" w:type="dxa"/>
          <w:left w:w="0" w:type="dxa"/>
          <w:bottom w:w="0" w:type="dxa"/>
          <w:right w:w="0" w:type="dxa"/>
        </w:tblCellMar>
      </w:tblPr>
      <w:tblGrid>
        <w:gridCol w:w="3365"/>
        <w:gridCol w:w="60"/>
        <w:gridCol w:w="140"/>
        <w:gridCol w:w="635"/>
        <w:gridCol w:w="95"/>
        <w:gridCol w:w="60"/>
        <w:gridCol w:w="140"/>
        <w:gridCol w:w="560"/>
        <w:gridCol w:w="11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Deferred income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Deferred income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net operating loss (“NOL”) carryforwards of approximately $9,900 and are subject to IRS code section 382 limitations. Of the total federal net operating loss, approximately $9,600 has an indefinite carryforward period as of December 31, 2025. The remaining federal and California net operating loss carryforwards will expire through December 31, 2045, unless previously utilized. NOL carryforwards may be subject to limitation under Sections 382 of the Internal Revenue Code, and similar state provisions which limit the amount carryforwards that can be utilized to offset future taxable income. In general, an ownership change, as defined by Sections 382, results from transactions increasing ownership of certain stockholders in the stock of the corporation by more than 50 percentage points over a three-year period. The Company does not anticipate performing a complete analysis of the limitation on the annual use of the net operating loss carryforwards until the time that it anticipates it will be able to utilize these tax attributes. This could impose an annual limit or reduction on the Company’s ability to utilize net operating loss carryforwards and could cause U.S. federal income taxes to be paid earlier than otherwise would be paid if such limitations were not in effect. The U.S. federal net operating loss carryforwards are stated before any such anticipated limitations. If a change in ownership were to have occurred, the Company’s NOL carryforwards could be eliminated or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 GAIN ON SETTLEMENT OF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2024, the Company entered into a Settlement Agreement with the Company’s former outside legal counsel. In connection with the agreement, the law firm agreed to settle the amount the Company owed them, which totaled $749, in exchange for a payment of $150. This resulted in a gain of $599 for the Company. In October 2024, the Company made the $150 payment to the law firm. As of December 31, 2024, no amounts were owed to the law firm.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SEGMENT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segment and operates as a clinical-stage biopharmaceutical company. The Company’s current focus is on developing immunotherapy and cell therapies for the treatment of cancer. The Company’s Chief Operating Decision Maker (“CODM”) is the Chief Executive Officer, who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officer compensation,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SEGMENT EXPENSES </w:t>
      </w:r>
    </w:p>
    <w:tbl>
      <w:tblPr>
        <w:tblW w:w="7857" w:type="dxa"/>
        <w:jc w:val="left"/>
        <w:tblInd w:w="0" w:type="dxa"/>
        <w:tblLayout w:type="fixed"/>
        <w:tblCellMar>
          <w:top w:w="0" w:type="dxa"/>
          <w:left w:w="0" w:type="dxa"/>
          <w:bottom w:w="0" w:type="dxa"/>
          <w:right w:w="0" w:type="dxa"/>
        </w:tblCellMar>
      </w:tblPr>
      <w:tblGrid>
        <w:gridCol w:w="5090"/>
        <w:gridCol w:w="60"/>
        <w:gridCol w:w="213"/>
        <w:gridCol w:w="968"/>
        <w:gridCol w:w="144"/>
        <w:gridCol w:w="91"/>
        <w:gridCol w:w="213"/>
        <w:gridCol w:w="968"/>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Years ended December 31,</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less officer compensation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1,837</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compensation and wages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2,152</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filed a shelf registration statement on Form S-3 (SEC File No. 333-292686) registering up to $75 million in aggregate securities and, in conjunction therewith, filed a prospectus supplement for the sale of up to $4.5 million of common stock pursuant to an At the Market Offering Agreement (the “ATM Agreement”) with H.C. Wainwright and Co., LLC (the “Placement Agent”). Under the ATM Agreement, the Placement Agent will be entitled to 3.0% of the gross proceeds of any sales made under the ATM Agreement. As a result of the ATM offering, subsequent to December 31, 2025, the Company raised $385 through the sale of 589,845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Company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Closing is subject to satisfactory completion of due diligence and negotiation of a definitive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an additional statement of work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an approximate total of $2,000 in consideration, which will be paid over time as each of the 13 stages of the Lonza Amendment are completed. See Note 6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n_012"/>
      <w:bookmarkEnd w:id="2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As discussed in Form 8-K filed with the SEC on April 28, 2025 (the “Form 8-K”), which is incorporated herein by reference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on April 23, 2025, the Audit Committee of the Company selected Weinberg and Company, P.A. (“Weinberg”) to serve as the Company’s independent registered public accounting firm for the review of its Quarterly Reports on Form 10-Q and Annual Report on Form 10-K for the fiscal year ending December 31, 2025. As a result, the Audit Committee dismissed Marcum LLP (“Marcum”) and Marcum would no longer serve as the Company’s independent registered public accounting firm, effective as of April 23,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Marcum’s audit report on our financial statements for the years ended December 31, 2024 and 2023 contained no adverse opinion or disclaimer of opinion, nor was it qualified or modified as to uncertainty, audit scope or accounting principles, except that the audit report on the financial statements of the Company for the year ended December 31, 2023 was modified as to contain uncertainty about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and through the date of the Form 8-K, the Company had no “disagreements” (as defined in Regulation S-K, Item 304(a)(1)(iv) and the related instructions) with Marcum on any matter of accounting principles or practices, financial statement disclosure, or auditing scope or procedures, which disagreements if not resolved to the satisfaction of Marcum would have caused them to make reference thereto in their reports on the financial statements for such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reportable events as defined in item 304(a)(1)(v) of Regulation S-K for the years ended December 31, 2024 or 2023 except for the material weaknesses in internal control over financial reporting for the fiscal years ended December 31, 2024 and 2023, as disclosed in Part II, Item 9A of the Company’s Annual Report on Form 10-K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prior to retaining Weinberg, the Company did not consult with Weinberg regarding either: (i) the application of accounting principles to a specified transaction, either contemplated or proposed, or the type of audit opinion that might be rendered on the Company’s financial statements, and neither a written report nor oral advice was provided to the Company that Weinberg concluded was an important factor considered by the Company in reaching a decision as to the accounting, auditing or financial reporting issue; or (ii) any matter that was the subject of a “disagreement” or a “reportable event” (as those terms are defined in Item 304(a)(1)(iv) and (a)(1)(v) of Regulation S-K,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n_013"/>
      <w:bookmarkEnd w:id="25"/>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for timely decisions regarding required disclosure. Under the supervision and with the participation of our management, including our Chief Executive Officer and Chief Financial Officer, we conducted an evaluation of the effectiveness of our disclosure controls and procedures as of December 31, 2025. Based on this evaluation, our Chief Executive Officer and Chief Financial Officer concluded that our disclosure controls and procedures were not effective at a reasonable assurance level as of December 31,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management carried out an evaluation of the effectiveness of the design and operation of our disclosure controls and procedures. Such evaluation was carried out by our Chief Financial Officer under the supervision of our Chief Executive Officer. Based on this evaluation, management concluded that our disclosure controls and procedures were, and continue to be, ineffective as of December 31, 2025. Based on the foregoing, our management concluded that our internal controls over the following financial reporting areas to be material weaknesses: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size and stage of development, segregation of all conflicting duties is not always possible or economically feasible. During the year, we lacked sufficient review procedures and segregation of duties such that proper review had not been performed by someone other than the preparer, including manual journal entries, and that process documentation is lacking for review and monitoring controls over the financial statements closing process.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December 31, 2025 that has materially affected, or is reasonably likely to materially affect, the Company’s internal control over financial reporting. Management will continue to monitor and evaluate the effectiveness of our internal controls and procedures over financial reporting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or 15d-15(f) of the Exchange Act) that occurred during the period covered by this Annual Report that materially affected, or are reasonably likely to materially affect, our internal control over financial reporting. However, the Company will continue to monitor and work to address the underlying causes of material weaknesses and control deficiencies. Such material weaknesses and control deficiencies will not be fully remediated until the Company has concluded that its internal controls are operating effectively for a sufficient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n_014"/>
      <w:bookmarkEnd w:id="26"/>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10b5-1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John S. Yu, the Company’s Chief Executive Officer and Chairman of the Board of Directors, adopted a Rule 10b5-1 trading plan. Mr. Yu’s Rule 10b5-1 trading plan is intended to satisfy the affirmative defense conditions of Rule 10b5-1(c) and provides for the potential sale of up to 3,500,000 shares of the Company’s common stock at specified limit prices ranging from $2.50 to $8.00 per share from March 16, 2026 to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n_015"/>
      <w:bookmarkEnd w:id="27"/>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an_016"/>
      <w:bookmarkEnd w:id="28"/>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n_017"/>
      <w:bookmarkEnd w:id="29"/>
      <w:r>
        <w:rPr>
          <w:rFonts w:ascii="Times New Roman;Times;Serif" w:hAnsi="Times New Roman;Times;Serif"/>
          <w:b/>
          <w:i w:val="false"/>
          <w:caps w:val="false"/>
          <w:smallCaps w:val="false"/>
          <w:sz w:val="20"/>
        </w:rPr>
        <w:t>ITEM 10 -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in the table below are the name, age, title of each executive officer and director, followed by a detailed description of their business experience and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185"/>
        <w:gridCol w:w="60"/>
        <w:gridCol w:w="440"/>
        <w:gridCol w:w="60"/>
        <w:gridCol w:w="4190"/>
      </w:tblGrid>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Bhowmick,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Ramachandran Murali.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Research and Development</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 M.D.,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 Sc.D., MBA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S. Yu, M.D., CEO and Chairman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 We believe Dr. Yu, with his substantial experience in cancer research as both a clinician and investigator, is qualified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Neil Bhowmick, Ph.D., Chief Scientific Officer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Bhowmick, our Chief Scientific Officer, has more than 20 years of broad biochemistry experience filing and prosecuting patents in therapeutics and devices, published in peer-reviewed journals (110 publications) leading foundational and pre-clinical cancer studies, obtaining regulatory approvals, and conducting clinical trials. Dr. Bhowmick discovered the role of fibroblasts in cancer therapy resistance and has used this finding to extend the time of cancer remission in multiple cancer types in preclinical and clinical examples as a founder and CEO of Enviro Therapeutics Inc. He trained at Vanderbilt University and is the Professor of Medicine at Cedars-Sinai Medical Center and Director of the Cancer Biology Program at Cedars-Sinai Cancer. He is on the Editorial Board of four scientific journals and charter member of a NIH grant study section. Dr. Bhowmick was a Consultant at Celgene (currently Bristol Myers Squibb, a New York Stock Exchange-listed company) in 2009, Xencor Inc., a Nasdaq-listed company, from 2019 to 2020 and at Tracon, a Nasdaq-listed company, from 2014 to 2019. He currently serves on the Scientific Advisory Board of FibroBiologics. Dr. Bhowmick has received NCI/NIH funding for over 15 years, has been cited over 15,000 times, and holds six patents for biomarker detection platforms and stromal targeted therapeutics (inclusive of ENV 105 and ENV 205</w:t>
      </w:r>
      <w:r>
        <w:rPr>
          <w:rFonts w:ascii="Times New Roman;Times;Serif" w:hAnsi="Times New Roman;Times;Serif"/>
          <w:b/>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Ramachandran Murali, Ph.D., Vice President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Murali, our Vice President of Research and Development, is an established structural biologist with expertise in macromolecular crystallography, computational biology, drug discovery, immunology, and cancer biology. Using these skills, Dr. Murali advanced a unique technology for creating small peptidomimetics and small molecule drugs that target protein-protein/DNA interactions for diagnostic and therapeutic applications in areas like cancer biology, immunotherapy, and autoimmune pathologies. Dr. Murali co-founded three biotech startup companies, including Xcyte Therapeutics, a cancer immunotherapy company founded in Seattle, WA in 1996, Ception Therapeutics, Inc, an immunotherapeutic pharmaceutical company founded in Philadelphia, PA in 2003 and Nidus, CA, a immunotherapeutic company founded in Los Angeles, CA in 2005. Dr. Murali’s accomplishments also include developing small molecule agonist/antagonists for numerous cell surface receptor complexes, including members of the TNFR super family. Recently, he targeted various transcription factors, such as Onecut-2, for cancer therapy. Dr. Murali has over 10 years of experience in collaborating with several biotech companies and is a co-inventor of more than 10 patents. Dr. Murali obtained his doctoral degree in Biophysics from the University of Madras, one of the pioneering institutes for structural biology in India. Upon graduation, he completed his post-doctoral training at Columbia University and the Wistar Institute (Philadelphia, PA). Later, he joined the University of Pennsylvania as a faculty member and rose to the position of Associate Professor. He is currently a Professor in the Department of Biomedical Sciences, Research Division of Immunology at Cedars-Sinai Medical Center (Los Angeles, 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Doug Samuelson,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Samuelson has served as our external Chief Financial Officer since 2019. Mr. Samuelson is a finance and accounting professional with over 25 years of experience. From 2016 to 2022, Mr. Samuelson served as the Chief Financial Officer of Wellness Center USA, Inc. in Tucson, Arizona. From 2016 to March 2020, Mr. Samuelson served as the Director of Accounting of Second Sight Medical Products, Inc., and in this position, managed all accounting functions, including all general ledger close functions, tax reporting, external audit responsibilities, banking and technical accounting issues. From 2018 to 2019, Mr. Samuelson served as the Chief Financial Officer of AdvaVet, Inc., in Los Angeles, California, the U.S. subsidiary of Swedish pharmaceutical company, Oasmia Pharmaceutical AB (NASDAQ: OASM). From 2016 to 2018, Mr. Samuelson was the Chief Financial Officer of Solis Tek, Inc. (OTC: GNAL), where he handled all financial reporting with the SEC. Mr. Samuelson obtained a Bachelor of Science in Accounting from University of Utah, College of Business, and obtained a Master of Science in Computer Science from California State University, Northridge, School of Engineering. He is also a Certified Public Accountant in the State of California.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Hyun W. Bae, M.D.,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Hyun W. Bae has served on our board of directors as an independent director since September 9, 2020. Dr. Bae is an orthopaedic surgeon in private practice in Santa Monica, California, and has been appointed Professor in Orthopaedic Surgery at Cedars-Sinai Medical Center, the Director of Cedars’ Education and Fellowship program, and a clinical partner of the Orthopaedic Stem Cell and Tissue Engineering Laboratory. Since 2010, Dr. Bae has served as the Chief Medical Officer and a director of Prosidyan, a company that develops proprietary fiber-based bioactive glass products. Dr. Bae has served as a Scientific Advisory Board Member of Mesoblast since 2008, Engage Surgical since 2018, and Spine Biopharma since 2019. He also served as a Scientific Advisory Board Member of Tissuegene from 2008 to 2015. Dr. Bae is a 20-year veteran of the drug development industry and is a renowned researcher and inventor. He was principal investigator for four FDA-approved randomized clinical trials and has completed 30 clinical studies throughout his career. Dr. Bae also has authored 60 published scientific papers, written five review articles and holds 30 patents. Dr. Bae obtained a Biomechanics degree from Columbia University and a Doctor of Medicine degree, cum laude, from Yale University and is a former NIH Howard Hughes Research Fellow in Bethesda, Maryland. We believe that Dr. Bae is qualified to serve on our board of directors because of his industry and technical experience, including his operational experience in drug discovery and development, and service on multiple company boards.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Hansoo Michael Keyoung, M.D., Ph.D.,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Hansoo Michael Keyoung has served on our board of directors as an independent director since our IPO in September 2024. For over 20 years, Dr. Keyoung has led a successful career as a physician, healthcare executive, and investor in the United States, Europe and Asia. Since 2017, Dr. Keyoung has served as the head of North America for CBC Group, a healthcare-dedicated private equity firm with over $4 billion in assets under management. He has served as Board Chair of AffaMed Therapeutics since 2019, a director of Graybug Vision, a Nasdaq-listed company, since 2019, and a director of InxMed since 2019. From 2015 to 2017, Dr. Keyoung also served as the Chief Executive Officer of Genexine, a KOSDAQ-listed biotech company with a $1 billion plus market cap focused on developing innovative biologic drugs for cancer and rare diseases. During his tenure as Chief Executive Officer of Genexine, he successfully helped lead clinical development in Europe and Asia, raised $100 million in equity, and set up partnerships with Merck, Fosun Pharma, Tasly Pharma, and Kalbe Pharma. From 2013 to 2015, he also served as President of Catalyst Biosciences, a Nasdaq-listed company and a clinical-stage hemophilia and ophthalmology company that partnered with Pfizer, MedImmune, and Isu Abxis. Additionally, he has experience advising Eli Lilly, Bausch &amp; Lomb, and Samsung Electronics/Biologics on Asian expansion, global drug development and commercial partnership strategies. Dr. Keyoung has a Doctor of Medicine degree and a Doctor of Philosophy degree in neuroscience and neurology from Cornell University Weill Medical College and Memorial Sloan Kettering. He was also a Biomedical Fellow at Rockefeller University and Memorial Sloan Kettering. We believe that Dr. Keyoung is qualified to serve on our board of directors because of his extensive experience serving in management and on boards of directors of public company, his experience in private equity investing in healthcare companies, and his extensive advisory work to industry-leading healthcare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Rahul Singhvi, Sc.D., MBA,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Rahul Singhvi has served on our board of directors as an independent director since December 10, 2024. Dr. Singhvi is a global leader in the Life Sciences industry and is cofounder of the US based biomanufacturing company, Resilience (National Resilience, Inc.). Prior to cofounding Resilience in 2020, from October 2019 to July 2020, Dr. Singhvi was an Operating Partner at Flagship Pioneering, where he founded and operated companies launched from Flagship’s innovation foundry, Flagship Venture Labs. Before joining Flagship, from September 2013 until October 2019, Rahul was the Chief Operating Officer at the Vaccine Business Unit of Takeda Pharmaceutical Co Ltd. (NYSE: TAK) where he led worldwide vaccine manufacturing operations. Before joining Takeda, from August 2005 to April 2011, Dr. Singhvi was President and CEO of Novavax, Inc. (Nasdaq:NVAX) where he led the company’s transformation into a global vaccine player. Dr. Singhvi’s career began at Merck &amp; Co in 1994, where he held several positions in R&amp;D and manufacturing. Dr. Singhvi serves on the Board of Trustees of the Keck Graduate Institute, and on the Board of Directors for Codexis (Nasdaq:CDXS), and Garuda Therapeutics (private). Dr. Singhvi graduated as the top ranked chemical engineer from the Indian Institute of Technology, Kanpur, India and obtained both his M.S. and Sc.D. degrees in chemical engineering from MIT. He received an MBA from the Wharton School of the University of Pennsylvania, where he graduated as a Palmer Scholar. Because of Dr. Signhvi’s experience and knowledge in the operation and leadership of early-stage public healthcare companies, we believe he will be able to provide valuable insights and contributions to our Board.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affairs are organized under the direction of our board of directors, which consists of four members, each of whom are elected to serve for one year </w:t>
      </w:r>
      <w:r>
        <w:rPr>
          <w:rFonts w:ascii="Times New Roman;Times;Serif" w:hAnsi="Times New Roman;Times;Serif"/>
          <w:b w:val="false"/>
          <w:i w:val="false"/>
          <w:caps w:val="false"/>
          <w:smallCaps w:val="false"/>
          <w:sz w:val="20"/>
          <w:shd w:fill="FFFFFF" w:val="clear"/>
        </w:rPr>
        <w:t>terms to hold office until the next annual meeting of our stockholders and until a successor is appointed and qualified, or until their removal, resignation, or death</w:t>
      </w:r>
      <w:r>
        <w:rPr>
          <w:rFonts w:ascii="Times New Roman;Times;Serif" w:hAnsi="Times New Roman;Times;Serif"/>
          <w:b w:val="false"/>
          <w:i w:val="false"/>
          <w:caps w:val="false"/>
          <w:smallCaps w:val="false"/>
          <w:sz w:val="20"/>
        </w:rPr>
        <w:t>. The primary responsibilities of our board of directors are to provide oversight, strategic guidance, counselling, and direction to our management. Our board of directors meets on a regular basis and additionally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the independence of each director. Based on information provided by each director concerning her or his background, employment and affiliations, including family relationships, our board of directors has determined that three of our four directors, each of Drs. Bae, Keyoung and Singhvi, are “independent” directors in accordance with the rules and regulations of NYSE American.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Involvement in Certain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convicted in a criminal proceeding or been subject to a pending criminal proceeding (excluding traffic violations and other minor offences);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oversees that the assets of our Company are properly safeguarded, that the appropriate financial and other controls are maintained, and that our business is conducted wisely and in compliance with applicable laws and regulations and proper governance. Included in these responsibilities is the board of directors’ oversight of the various risks facing our company. In this regard, our board of directors seeks to understand and oversee critical business risks. Our board of directors does not view risk in isolation. Risks are considered in virtually every business decision and as part of our business strategy. Our board of directors recognizes that it is neither possible nor prudent to eliminate all risk. Indeed, purposeful and appropriate risk-taking is essential for our company to be competitive on a global basis and to achieve its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board of directors oversees risk management, company management is charged with managing risk. Management communicates routinely with the board of directors and individual directors on the significant risks identified and how they are being managed. Directors are free to, and indeed often do, communicate directly with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administers its risk oversight function as a whole by making risk oversight a matter of collective consideration; however, much of the work is delegated to committees, which will meet regularly and report back to the full board of directors. We have established a standing audit committee, compensation committee and nominating and corporate governance committee of our board of directors. The audit committee will oversee risks related to our financial statements, the financial reporting process, accounting and legal matters, the compensation committee will evaluate the risks and rewards associated with our compensation philosophy and programs, and the nominating and corporate governance committee will evaluate risk associated with management decisions and strategic direction.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which is made up of independent directors.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NYSE American rules and regulations, which have been posted to our website at https://kairospharma.com. Our board of directors may establish other committees as it deems necessary or appropriate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Dr. Michael Keyoung, Dr. Hyun W. Bae and Dr. Rahul Singhvi, each of whom our board of directors has determined satisfies the independence requirements under the NYSE American rule and regulations and Rule 10A-3(b)(1) of the Exchange Act. The chair of our audit committee is Dr. Michael Keyoung,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our board of directors oversee our corporate accounting and financial reporting processes;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Dr. Singhvi, Dr. Keyoung and Dr. Bae. The chair of our compensation committee is Dr. Singhvi. Our board of directors has determined that each member of our compensation committee is independent under the NYSE American rules and regulations and as a “non-employee director” as defined in Rule 16b-3 promulgated under the Exchange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our chief executive officer, other executive officers, and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of directors the compensation paid to our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arrangements with our executive officers and other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our board of directors’ succession plans for our executive officers;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Singhvi, Dr. Bae and Dr. Keyoung. The chair of our nominating and corporate governance committee is Dr. Singhvi. Our board of directors has determined that each member of the nominating and corporate governance committee is independent under the NYSE American rules and regulations, a non-employee director, and free from any relationship that would interfere with the exercise of his or her independent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our nominating and corporate governance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our board of directors regarding the composition and chairmanship of the committees of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our board of directors and orientation of new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our board of directors regarding corporate governance guidelines and matters;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 of directors’ performance, including committees of the board of directors and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also nominate director candidates for our annual meetings of stockholders by following the procedures set forth in our bylaws.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has been posted on our website at www.kairospharma.com.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which prohibits our directors, officers and employees from engaging in transactions in our common stock while in the possession of material non-public information; engaging in transactions in the stock of other companies while in possession of material non-public information that they become aware of in performing their duties; and disclosing material non-public information to unauthorized persons outside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restricts trading by directors, officers and certain key employees during blackout periods, which generally begin three weeks prior to the last day of each fiscal quarter and ending three business days following the date the Company’s financial results are publicly disclosed and the Form 10-Q or the Form 10-K is filed. Additional blackout periods may be imposed with or without notice, as the circumstances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directors, officers and employees are expressly prohibited from making certain transactions, including short-term trading, short sales, options trading, trading on margin, and hedging, unless such transaction is specifically approved in advance by the administrator of our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non-employee directors is determined by the board of directors. Each non-employee director receives an annual cash compensation of $50,000, payable in quarterly instalments in arrears, plus an additional $10,000 cash compensation for the chair of the audit committee. In addition, our policy provides that, upon initial election or appointment to our board of directors, each new non-employee director will be granted a one-time grant, or Director Initial Grant, of $50,000 of RSUs, with the number of RSUs issued calculated as of the grant date, which will vest in substantially equal annual instalments over a period of three years. The Director Initial Grant is subject to full acceleration of vesting upon the sale of our Company, in accordance with the terms of our 2023 Equity Incentive Plan. Employee directors receive no additional compensation for their service as a director.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our directors for all reasonable out-of-pocket expenses incurred for their attendance at meetings of our board of directors or any committee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non-employee directors earned the following compensation for their service during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8828" w:type="dxa"/>
        <w:jc w:val="left"/>
        <w:tblInd w:w="0" w:type="dxa"/>
        <w:tblLayout w:type="fixed"/>
        <w:tblCellMar>
          <w:top w:w="0" w:type="dxa"/>
          <w:left w:w="0" w:type="dxa"/>
          <w:bottom w:w="28" w:type="dxa"/>
          <w:right w:w="0" w:type="dxa"/>
        </w:tblCellMar>
      </w:tblPr>
      <w:tblGrid>
        <w:gridCol w:w="2420"/>
        <w:gridCol w:w="60"/>
        <w:gridCol w:w="155"/>
        <w:gridCol w:w="734"/>
        <w:gridCol w:w="60"/>
        <w:gridCol w:w="60"/>
        <w:gridCol w:w="61"/>
        <w:gridCol w:w="604"/>
        <w:gridCol w:w="60"/>
        <w:gridCol w:w="60"/>
        <w:gridCol w:w="285"/>
        <w:gridCol w:w="380"/>
        <w:gridCol w:w="60"/>
        <w:gridCol w:w="60"/>
        <w:gridCol w:w="529"/>
        <w:gridCol w:w="706"/>
        <w:gridCol w:w="60"/>
        <w:gridCol w:w="60"/>
        <w:gridCol w:w="644"/>
        <w:gridCol w:w="860"/>
        <w:gridCol w:w="60"/>
        <w:gridCol w:w="60"/>
        <w:gridCol w:w="125"/>
        <w:gridCol w:w="590"/>
        <w:gridCol w:w="75"/>
      </w:tblGrid>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Earned or</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Paid in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Cash</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Incentive Plan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Compensation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Compensation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w:t>
            </w:r>
            <w:r>
              <w:rPr>
                <w:rFonts w:ascii="Times New Roman;Times;Serif" w:hAnsi="Times New Roman;Times;Serif"/>
                <w:b w:val="false"/>
                <w:i w:val="false"/>
                <w:caps w:val="false"/>
                <w:smallCaps w:val="false"/>
                <w:position w:val="7"/>
                <w:sz w:val="16"/>
                <w:sz w:val="20"/>
              </w:rPr>
              <w:t xml:space="preserve">(1)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director agreements with Dr. Bae and Dr. Keyoung, effective September 16, 2024, the date of our initial listing on the NYSE American.</w:t>
            </w:r>
          </w:p>
        </w:tc>
      </w:tr>
    </w:tbl>
    <w:p>
      <w:pPr>
        <w:pStyle w:val="TextBody"/>
        <w:bidi w:val="0"/>
        <w:spacing w:before="0" w:after="0"/>
        <w:ind w:left="360" w:right="0" w:hanging="36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60"/>
        <w:gridCol w:w="81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director agreement with Dr. Singhvi upon his appointment on December 10, 2024.</w:t>
            </w:r>
          </w:p>
        </w:tc>
      </w:tr>
    </w:tbl>
    <w:p>
      <w:pPr>
        <w:pStyle w:val="TextBody"/>
        <w:bidi w:val="0"/>
        <w:spacing w:before="0" w:after="0"/>
        <w:ind w:left="36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60"/>
        <w:gridCol w:w="94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received RSUs which vest annually in one-third increments over a period of three years.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provisions limiting the liability of directors, and our bylaws provide that we will indemnify each of our directors and officers to the fullest extent permitted under Delaware law. Our certificate of incorporation and bylaws will also provide our board of directors with discretion to indemnify our employees and other agents when determined appropriate by the board of directors. In addition, we have entered into indemnification agreements with each of our directors and executive officers, which will require us to indemnify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December 31, 2025, except for the following:</w:t>
      </w:r>
    </w:p>
    <w:p>
      <w:pPr>
        <w:pStyle w:val="TextBody"/>
        <w:bidi w:val="0"/>
        <w:spacing w:before="0" w:after="0"/>
        <w:ind w:left="0" w:right="0" w:hanging="0"/>
        <w:jc w:val="both"/>
        <w:rPr>
          <w:caps w:val="false"/>
          <w:smallCaps w:val="false"/>
        </w:rPr>
      </w:pPr>
      <w:r>
        <w:rPr>
          <w:caps w:val="false"/>
          <w:smallCaps w:val="false"/>
        </w:rPr>
        <w:t> </w:t>
      </w:r>
    </w:p>
    <w:tbl>
      <w:tblPr>
        <w:tblW w:w="6875" w:type="dxa"/>
        <w:jc w:val="left"/>
        <w:tblInd w:w="0" w:type="dxa"/>
        <w:shd w:fill="FFFFFF" w:val="clear"/>
        <w:tblLayout w:type="fixed"/>
        <w:tblCellMar>
          <w:top w:w="0" w:type="dxa"/>
          <w:left w:w="0" w:type="dxa"/>
          <w:bottom w:w="28" w:type="dxa"/>
          <w:right w:w="0" w:type="dxa"/>
        </w:tblCellMar>
      </w:tblPr>
      <w:tblGrid>
        <w:gridCol w:w="2165"/>
        <w:gridCol w:w="60"/>
        <w:gridCol w:w="1115"/>
        <w:gridCol w:w="60"/>
        <w:gridCol w:w="2420"/>
        <w:gridCol w:w="60"/>
        <w:gridCol w:w="995"/>
      </w:tblGrid>
      <w:tr>
        <w:trPr/>
        <w:tc>
          <w:tcPr>
            <w:tcW w:w="216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Late Reports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Earliest Transaction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02/24/2025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Ramachandran Murali</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02/24/2025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Bhowmick</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04/07/2025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Hansoo Keyoung</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12/23/2025</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n_018"/>
      <w:bookmarkEnd w:id="30"/>
      <w:r>
        <w:rPr>
          <w:rFonts w:ascii="Times New Roman;Times;Serif" w:hAnsi="Times New Roman;Times;Serif"/>
          <w:b/>
          <w:i w:val="false"/>
          <w:caps w:val="false"/>
          <w:smallCaps w:val="false"/>
          <w:sz w:val="20"/>
        </w:rPr>
        <w:t>ITEM 11 -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years ended December 31, 2025 and 2024 were Dr. Yu, Dr. Bhowmick, Dr. Murali and Mr.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summary compensation table for our named executive officers for the years ended December 31, 2024 and 2025. We are currently a “emerging growth company” and a “smaller reporting company” as defined under SEC rules and, as a result, we are required to include only two years of compensation disclosure, rather than three years, in this table.</w:t>
      </w:r>
    </w:p>
    <w:p>
      <w:pPr>
        <w:pStyle w:val="TextBody"/>
        <w:bidi w:val="0"/>
        <w:spacing w:before="0" w:after="0"/>
        <w:ind w:left="0" w:right="0" w:hanging="0"/>
        <w:jc w:val="both"/>
        <w:rPr>
          <w:caps w:val="false"/>
          <w:smallCaps w:val="false"/>
        </w:rPr>
      </w:pPr>
      <w:r>
        <w:rPr>
          <w:caps w:val="false"/>
          <w:smallCaps w:val="false"/>
        </w:rPr>
        <w:t> </w:t>
      </w:r>
    </w:p>
    <w:tbl>
      <w:tblPr>
        <w:tblW w:w="11735" w:type="dxa"/>
        <w:jc w:val="left"/>
        <w:tblInd w:w="0" w:type="dxa"/>
        <w:tblLayout w:type="fixed"/>
        <w:tblCellMar>
          <w:top w:w="0" w:type="dxa"/>
          <w:left w:w="0" w:type="dxa"/>
          <w:bottom w:w="28" w:type="dxa"/>
          <w:right w:w="0" w:type="dxa"/>
        </w:tblCellMar>
      </w:tblPr>
      <w:tblGrid>
        <w:gridCol w:w="1460"/>
        <w:gridCol w:w="60"/>
        <w:gridCol w:w="60"/>
        <w:gridCol w:w="500"/>
        <w:gridCol w:w="60"/>
        <w:gridCol w:w="60"/>
        <w:gridCol w:w="60"/>
        <w:gridCol w:w="800"/>
        <w:gridCol w:w="60"/>
        <w:gridCol w:w="60"/>
        <w:gridCol w:w="60"/>
        <w:gridCol w:w="680"/>
        <w:gridCol w:w="60"/>
        <w:gridCol w:w="60"/>
        <w:gridCol w:w="60"/>
        <w:gridCol w:w="800"/>
        <w:gridCol w:w="60"/>
        <w:gridCol w:w="60"/>
        <w:gridCol w:w="321"/>
        <w:gridCol w:w="509"/>
        <w:gridCol w:w="60"/>
        <w:gridCol w:w="60"/>
        <w:gridCol w:w="576"/>
        <w:gridCol w:w="914"/>
        <w:gridCol w:w="60"/>
        <w:gridCol w:w="60"/>
        <w:gridCol w:w="576"/>
        <w:gridCol w:w="914"/>
        <w:gridCol w:w="60"/>
        <w:gridCol w:w="60"/>
        <w:gridCol w:w="576"/>
        <w:gridCol w:w="914"/>
        <w:gridCol w:w="60"/>
        <w:gridCol w:w="60"/>
        <w:gridCol w:w="60"/>
        <w:gridCol w:w="800"/>
        <w:gridCol w:w="75"/>
      </w:tblGrid>
      <w:tr>
        <w:trPr/>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Nonqualified Deferred Compensation Earnings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 Other 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John S.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362,915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Neil Bhowmick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Ramachandran Murali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Doug Samuelson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137,657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254,750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has entered into an employment agreement with us. The executive officers will each receive compensation on an annual basis in cash, payable in monthly installments commencing at the completion of our IPO, as well as an initial restricted stock grant of RSUs. As may be decided from time to time by our Compensation Committee, our executive officers may be entitled to various target bonuses. The terms of the employment agreements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John Yu,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enter into an employment agreement with our Chief Executive Officer and Chairman of the Board, John Yu, M.D. Dr. Yu’s employment agreement became effective upon consummation of our IPO. Under the terms of his employment agreement, Dr. Yu will receive base compensation of $175,000 per year. Dr. Yu also received 14,000 RSUs, which will vest annually in substantially equal installments over a period of three years. In addition, Dr. Yu will be entitled to receive an annual cash or stock bonus, as may be determined by the compensation committee of the board of directors. Should Dr. Yu terminate his employment for “Good Reason,” as defined in his employment agreement, he will be entitled to his then applicable base salary for period of six months, subject to his continued compliance with certain requirements of his employment agreement. Dr. Yu will also be entitled to standard benefits that may be offered by the Company from time to time, including 30 days’ paid vacation.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Doug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Chief Financial Officer, Mr. Doug Samuelson, which became effective upon consummation of our IPO. Under the employment agreement, Mr. Samuelson will be entitled to receive (i) a base salary equal to $50,000 per year, payable in monthly installments; (ii) an annual grant of 50,000 RSUs, which RSUs will be issued each year on the anniversary date of our IPO, with each grant becoming fully vested after 12 months; and (iii) such number of RSUs equal to 1.2 times the amount of outstanding invoices then owed to Mr. Samuelson according to his current consulting agreement, with such number of RSUs to be calculated at our IPO per share purchase price. In addition, in the event of “Change of Control,” as such term is defined in his employment agreement, Mr. Samuelson will be entitled to receive 250,000 RSUs, which number shall include all RSUs Mr. Samuelson has received up until the date of the Change of Control, and which shall all vest immediately upon issuance. Mr. Samuelson will also be entitled to receive an annual cash or stock bonus, as may be determined by the compensation committee of the board of directors and will be entitled to standard benefits that may be offered by the Company from time to time, including 30 days’ paid vacation and six months’ severance in the event his employment is terminated without cause.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Neil Bhowmick,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Chief Scientific Officer, Neil Bhowmick, M.D., which became effective upon the consummation of our IPO. Under Dr. Bhowmick’s employment agreement, Dr. Bhowmick will receive a base salary equal to $100,000 per year, payable in monthly installments, and 14,000 RSUs, which RSUs will vest annually over a period of three years. In addition, Dr. Bhowmick will be entitled to receive an annual cash or stock bonus, as may be determined by the board of directors or a committee thereof. Dr. Bhowmick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Ramachandran Murali,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Vice President of Research and Development, Ramachandran Murali, MD, which became effective upon consummation of our IPO. Under Dr. Murali’s employment agreement, Dr. Murali will receive base compensation of $80,000 per year and will receive an initial grant of 14,0000 RSUs, which RSUs will vest annually in substantially equal installments over a period of three years. In addition, Dr. Murali will be entitled to receive an annual cash or stock bonus, as may be determined by the board of directors or a committee thereof. Dr. Murali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adopted our 2023 Equity Incentive Plan, which reserved 1,650,000 shares of common stock for issuance under the 2023 Equity Incentive Plan. The equity-based incentive awards granted under the 2023 Equity Incentive Plan are designed to align our interests and those of our stockholders with those of our employees and consultants, including our executive officers. Our board of directors or an authorized committee thereof is responsible for approving equity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held by our named executive officers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4"/>
        <w:gridCol w:w="60"/>
        <w:gridCol w:w="677"/>
        <w:gridCol w:w="60"/>
        <w:gridCol w:w="464"/>
        <w:gridCol w:w="736"/>
        <w:gridCol w:w="60"/>
        <w:gridCol w:w="60"/>
        <w:gridCol w:w="464"/>
        <w:gridCol w:w="736"/>
        <w:gridCol w:w="60"/>
        <w:gridCol w:w="60"/>
        <w:gridCol w:w="292"/>
        <w:gridCol w:w="463"/>
        <w:gridCol w:w="60"/>
        <w:gridCol w:w="60"/>
        <w:gridCol w:w="367"/>
        <w:gridCol w:w="583"/>
        <w:gridCol w:w="60"/>
        <w:gridCol w:w="60"/>
        <w:gridCol w:w="118"/>
        <w:gridCol w:w="1367"/>
        <w:gridCol w:w="63"/>
        <w:gridCol w:w="63"/>
        <w:gridCol w:w="120"/>
        <w:gridCol w:w="1496"/>
        <w:gridCol w:w="82"/>
      </w:tblGrid>
      <w:tr>
        <w:trPr/>
        <w:tc>
          <w:tcPr>
            <w:tcW w:w="1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65" w:type="dxa"/>
            <w:gridSpan w:val="14"/>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vAlign w:val="center"/>
          </w:tcPr>
          <w:p>
            <w:pPr>
              <w:pStyle w:val="TableContents"/>
              <w:bidi w:val="0"/>
              <w:spacing w:before="0" w:after="283"/>
              <w:jc w:val="center"/>
              <w:rPr>
                <w:b/>
              </w:rPr>
            </w:pPr>
            <w:r>
              <w:rPr>
                <w:b/>
              </w:rPr>
              <w:t>Restricted Stock Unit Awards</w:t>
            </w:r>
          </w:p>
        </w:tc>
        <w:tc>
          <w:tcPr>
            <w:tcW w:w="82" w:type="dxa"/>
            <w:tcBorders/>
            <w:vAlign w:val="center"/>
          </w:tcPr>
          <w:p>
            <w:pPr>
              <w:pStyle w:val="TableContents"/>
              <w:bidi w:val="0"/>
              <w:spacing w:before="0" w:after="283"/>
              <w:jc w:val="left"/>
              <w:rPr/>
            </w:pPr>
            <w:r>
              <w:rPr/>
              <w:t> </w:t>
            </w:r>
          </w:p>
        </w:tc>
      </w:tr>
      <w:tr>
        <w:trPr/>
        <w:tc>
          <w:tcPr>
            <w:tcW w:w="1514"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77"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Vested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Unvested</w:t>
            </w:r>
          </w:p>
        </w:tc>
        <w:tc>
          <w:tcPr>
            <w:tcW w:w="82" w:type="dxa"/>
            <w:tcBorders/>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John S. Yu</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10/08/2025</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ind w:left="0" w:right="0" w:firstLine="72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190,840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09/16/2024</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7,000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Doug Samuelson</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10/08/2025</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152,672</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09/16/2024</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Neil Bhowmick</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10/08/2025</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171,756</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09/16/2024</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7,000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Ramachandran Murali</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10/08/2025</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152,672</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09/16/2024</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7,000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7,000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As such, on March 1, 2024 we adopted a clawback policy, entitled, “Policy for Recovery of Erroneously Awarded Compensation.”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n_019"/>
      <w:bookmarkEnd w:id="31"/>
      <w:r>
        <w:rPr>
          <w:rFonts w:ascii="Times New Roman;Times;Serif" w:hAnsi="Times New Roman;Times;Serif"/>
          <w:b/>
          <w:i w:val="false"/>
          <w:caps w:val="false"/>
          <w:smallCaps w:val="false"/>
          <w:sz w:val="20"/>
        </w:rPr>
        <w:t>ITEM 12 -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capital stock as of March 31, 2026 by:</w:t>
      </w:r>
    </w:p>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85"/>
        <w:gridCol w:w="91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21,411,198 shares of our common stock outstanding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for each beneficial owner listed in the table below is 2355 Westwood Blvd. #139, Los Angeles, California 90064.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80"/>
        <w:gridCol w:w="60"/>
        <w:gridCol w:w="139"/>
        <w:gridCol w:w="2301"/>
        <w:gridCol w:w="60"/>
        <w:gridCol w:w="60"/>
        <w:gridCol w:w="365"/>
        <w:gridCol w:w="3062"/>
        <w:gridCol w:w="78"/>
      </w:tblGrid>
      <w:tr>
        <w:trPr/>
        <w:tc>
          <w:tcPr>
            <w:tcW w:w="408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2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Beneficially</w:t>
              <w:br/>
              <w:t>Owned (#)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Shares Beneficially Owned (%)</w:t>
            </w:r>
          </w:p>
        </w:tc>
        <w:tc>
          <w:tcPr>
            <w:tcW w:w="78" w:type="dxa"/>
            <w:tcBorders/>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Greater than 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Technomedics Management and Systems, Inc.</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5.3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John S. Yu, M.D. </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5,347,170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25.0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Ramachandran Murali,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Neil Bhowmick,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1,135,316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5.3</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Douglas Samuelson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Hyun W. Bae,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Hansoo Michael Keyoung,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Rahul Singhvi, Sci.D., MBA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6,826,037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31.9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Manfred Mosk exercises voting and investment power of all shares held by Technomedics Management and Systems,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Does not include restricted stock units issued under the Company’s 2023 Equity Incentive Plan which remain subject to vesting.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Yu Family trust owns 5,316,572 shares and John Yu owns 30,598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n_020"/>
      <w:bookmarkEnd w:id="32"/>
      <w:r>
        <w:rPr>
          <w:rFonts w:ascii="Times New Roman;Times;Serif" w:hAnsi="Times New Roman;Times;Serif"/>
          <w:b/>
          <w:i w:val="false"/>
          <w:caps w:val="false"/>
          <w:smallCaps w:val="false"/>
          <w:sz w:val="20"/>
        </w:rPr>
        <w:t>ITEM 13 -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January 1, 2023 to which we have been a party in which the amount involved exceeded or will exceed the lesser of $120,000 as of December 31, 2025,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and Advances from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borrowed $0.04 million from one of its officers. The loans accrue interest at 7.5% interest per annum, are unsecured, and are due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2024, the Company borrowed $0.1 million from three of its officers. The loans accrue interest at 7.5% per annum, are unsecured, and are due in April 2025. The officers holding notes payable have since agreed to convert the outstanding loans and principal into shares of common stock of the company, converting at the IPO per share purchase price, following completion of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stockholders of the Company, and a company whose principal stockholder is also a stockholder of the Company, advanced the Company $0.01 million, which was all outstanding at December 31, 2021. The advances accrue no interest, are unsecured and are due on demand. As of December 31, 2021, $0.01 million was owed on the advances. During the year ended December 31, 2022, the Company repaid $0.01 million of the advances, and as of December 31, 2022 and 2023, and June 30, 2024, a total of $0.004 was outstanding.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Policies and Procedures for Transactions with Related Persons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n_021"/>
      <w:bookmarkEnd w:id="33"/>
      <w:r>
        <w:rPr>
          <w:rFonts w:ascii="Times New Roman;Times;Serif" w:hAnsi="Times New Roman;Times;Serif"/>
          <w:b/>
          <w:i w:val="false"/>
          <w:caps w:val="false"/>
          <w:smallCaps w:val="false"/>
          <w:sz w:val="20"/>
        </w:rPr>
        <w:t>ITEM 14 -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fees for professional audit services for the audit of the Company’s annual financial statements for the fiscal years ended December 31, 2025 and 2024, rendered by Weinberg and Company, P.A., the Company’s current independent registered public accounting firm, and Marcum LLP, the Company’s prior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610"/>
        <w:gridCol w:w="60"/>
        <w:gridCol w:w="392"/>
        <w:gridCol w:w="2081"/>
        <w:gridCol w:w="168"/>
        <w:gridCol w:w="168"/>
        <w:gridCol w:w="193"/>
        <w:gridCol w:w="307"/>
        <w:gridCol w:w="60"/>
        <w:gridCol w:w="60"/>
        <w:gridCol w:w="239"/>
        <w:gridCol w:w="1164"/>
        <w:gridCol w:w="102"/>
        <w:gridCol w:w="102"/>
        <w:gridCol w:w="102"/>
        <w:gridCol w:w="1472"/>
        <w:gridCol w:w="75"/>
      </w:tblGrid>
      <w:tr>
        <w:trPr/>
        <w:tc>
          <w:tcPr>
            <w:tcW w:w="1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Weinberg and Company, P.A.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Marcum LLP</w:t>
            </w:r>
          </w:p>
        </w:tc>
        <w:tc>
          <w:tcPr>
            <w:tcW w:w="75" w:type="dxa"/>
            <w:tcBorders/>
            <w:vAlign w:val="center"/>
          </w:tcPr>
          <w:p>
            <w:pPr>
              <w:pStyle w:val="TableContents"/>
              <w:bidi w:val="0"/>
              <w:spacing w:before="0" w:after="283"/>
              <w:jc w:val="center"/>
              <w:rPr/>
            </w:pPr>
            <w:r>
              <w:rPr/>
              <w:t> </w:t>
            </w:r>
          </w:p>
        </w:tc>
      </w:tr>
      <w:tr>
        <w:trPr/>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33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December 31</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50,150</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pPr>
            <w:r>
              <w:rPr/>
              <w:t>10,000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r>
              <w:rPr>
                <w:rFonts w:ascii="Times New Roman;Times;Serif" w:hAnsi="Times New Roman;Times;Serif"/>
              </w:rPr>
              <w:t>144,200</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16,000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59,740</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fees</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50,150</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26,000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r>
              <w:rPr>
                <w:rFonts w:ascii="Times New Roman;Times;Serif" w:hAnsi="Times New Roman;Times;Serif"/>
              </w:rPr>
              <w:t>203,940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for the audit of the Company’s annual financial statements for 2024 and 2025 and services in connection with registration statements filed in 2024 and 2025. Audit fees also include fees related to the reviews of interim financial information included in Forms 10-Q and for consent or comfort letter procedures performed in conjunction with registration statements or completing financial transactions during the respective fiscal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has been for the Audit Committee to pre-approve all audit, audit-related and non-audit services performed by our independent auditors and to subsequently review the actual fees and expenses paid to our independent auditors. Accordingly, the Audit Committee pre-approved all audit, audit-related and non-audit services performed by our independent auditors and subsequently reviewed the actual fees and expenses paid to our former auditor, Marcum LLP, during fiscal 2023 and 2024 and the actual fees and expenses paid to our current auditor, Weinberg and Company, P.A. during fiscal year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4" w:name="an_022"/>
      <w:bookmarkEnd w:id="34"/>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n_023"/>
      <w:bookmarkEnd w:id="35"/>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92"/>
        <w:gridCol w:w="60"/>
        <w:gridCol w:w="9253"/>
      </w:tblGrid>
      <w:tr>
        <w:trPr/>
        <w:tc>
          <w:tcPr>
            <w:tcW w:w="892"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At the Market Offering Agreement, dated January 12, 2026, by and between Kairos Pharma,Ltd. and H.C. Wainright Co., LLC (incorporated by reference to Exhibit 1.2 to the Company’s Registration Statement on Form S-3 filed on January 12, 2026).</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 of Kairos Pharma, Ltd. filed with the Secretary of State of the State of Delaware, dated May 10, 2023 (incorporated by reference to Exhibit 3.5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Bylaws of Kairos Pharma, Ltd. (Delaware) (incorporated by reference to Exhibit 3.6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Representative’s Warrant (incorporated by reference to Exhibit 4.1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Pre-Funded Warrant (incorporated by reference to Exhibit 4.1 to the Company’s Current Report on Form 8-K filed January 14,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Warrant (incorporated by reference to Exhibit 4.2 to the Company’s Current Report on Form 8-K filed January 17,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Placement Agent Warrants (incorporated by reference to Exhibit 4.3 to the Company’s Current Report on Form 8-K filed January 17,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Description of Securities (incorporated by reference to Exhibit 4.5 to the Company’s Amendment No. 1 to its Annual Report on Form 10-K/A filed April 28,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Exclusive Option Agreement, dated March 16, 2020, between Cedars-Sinai Medical Center and Enviro Therapeutics, Inc. (re Depletion of Mitochondrial DNA) (incorporated by reference to Exhibit 10.1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Exclusive Option Agreement, dated January 11, 2021, between Cedars-Sinai Medical Center and Enviro Therapeutics, Inc. (re Depletion of Mitochondrial DNA). (incorporated by reference to Exhibit 10.2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Exclusive Option Agreement, dated March 16, 202, between Cedars-Sinai Medical Center and Enviro Therapeutics, Inc. (re Sensitization of Solid Tumors) (incorporated by reference to Exhibit 10.3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Amendment to Exclusive Option Agreement, dated January 9, 2021, between Cedars-Sinai Medical Center and Enviro Therapeutics, Inc. (re Sensitization of Solid Tumors) (incorporated by reference to Exhibit 10.4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Exclusive License Agreement, dated June 21, 2021, between Cedars-Sinai Medical Center and Enviro Therapeutics, Inc. (re Compositions and Methods for Treating Diseases and Conditions by Depletion of Mitochondrial or Genomic DNA from Circulation and for Detection of Mitochondrial or Genomic DNA) (incorporated by reference to Exhibit 10.5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Exclusive License Agreement, dated June 2, 2021, between Cedars-Sinai Medical Center and Enviro Therapeutics, Inc. (re Sensitization of Tumors to Therapies Through Endoglin Antagonism) (incorporated by reference to Exhibit 10.6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Exclusive License Agreement, dated August 30, 2019, between Cedars-Sinai Medical Center and Kairos Pharma, Ltd. (as successor to AcTcell Biopharma, Inc.) (re Methods of generating activated T cells for cancer therapy) (incorporated by reference to Exhibit 10.7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Methods of generating activated T cells for cancer therapy) (incorporated by reference to Exhibit 10.8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Exclusive License Agreement, dated October 1, 2017, between Cedars-Sinai Medical Center and Kairos Pharma, Ltd. (re Methods of use of compounds that bind to RelA of NFkB) (incorporated by reference to Exhibit 10.9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Methods of use of compounds that bind to RelA of NFkB) (incorporated by reference to Exhibit 10.11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Exclusive License Agreement, dated October 1, 2017, between Cedars-Sinai Medical Center and Kairos Pharma, Ltd. (re Composition and Methods for Treating Fibrosis) (incorporated by reference to Exhibit 10.12 to the Registration Statement filed on August 16, 2024).</w:t>
              </w:r>
            </w:hyperlink>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00"/>
        <w:gridCol w:w="60"/>
        <w:gridCol w:w="9645"/>
      </w:tblGrid>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Composition and Methods for Treating Fibrosis) (incorporated by reference to Exhibit 10.13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Exclusive License Agreement, dated March 12, 2019, between Cedars-Sinai Medical Center and Kairos Pharma, Ltd. (re Composition and Methods for Treating Cancer and Autoimmune Diseases) (incorporated by reference to Exhibit 10.14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Composition and Methods for Treating Cancer and Autoimmune Diseases) (incorporated by reference to Exhibit 10.15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License and Supply Agreement, dated May 21, 2021, between Tracon Pharmaceuticals, Inc., Enviro Therapeutics, Inc., and Kairos Pharma, Ltd. (incorporated by reference to Exhibit 10.16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First Amendment to Exclusive License Agreement, dated April 18, 2021, between Cedars-Sinai Medical Center and Enviro Therapeutics, Inc. (re Methods for Treating Diseases and Conditions by Depletion of Mitochondrial or Genomic DNA) (incorporated by reference to Exhibit 10.17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Second Amendment to Exclusive License Agreement, dated October 11, 2022, between Cedars-Sinai Medical Center and Enviro Therapeutics, Inc. (re Sensitization of Tumors to Therapies Through Endoglin Antagonism) (incorporated by reference to Exhibit 10.18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Subscription Agreement for 6% Convertible Notes (incorporated by reference to Exhibit 10.20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6% Convertible Note (incorporated by reference to Exhibit 10.21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Investor Rights and Lock-Up Agreement for 6% Convertible Notes (incorporated by reference to Exhibit 10.22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Kairos Pharma, Ltd. 2023 Equity Incentive Plan (incorporated by reference to Exhibit 10.23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Director Offer Letter (incorporated by reference to Exhibit 10.24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Employment Agreement for John Yu (incorporated by reference to Exhibit 10.25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Employment Agreement with Doug Samuelson (incorporated by reference to Exhibit 10.26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Employment Agreement for Neil Bhowmick (incorporated by reference to Exhibit 10.27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Employment Agreement for Ramachandran Murali (incorporated by reference to Exhibit 10.28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Indemnification Agreement between Kairos Pharma, Ltd. and each of its directors (incorporated by reference to Exhibit 10.29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Conversion Agreement, dated March 7, 2024, between Cedars-Sinai Medical Center, Kairos Pharma, Ltd. and Enviro Therapeutics, Inc. (incorporated by reference to Exhibit 10.30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Second Amendment to the Exclusive License Agreement to Methods and Use of Compounds that Bind to RelA of NF-kB, dated March 7, 2024, between Kairos Pharma Ltd. and Cedars-Sinai Medical Center (incorporated by reference to Exhibit 10.31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Second Amendment to the Exclusive License Agreement to Composition and Methods for Treating Fibrosis with Kairos Pharma Ltd, dated March 7, 2024, between Kairos Pharma, Ltd. and Cedars-Sinai Medical Center (incorporated by reference to Exhibit 10.32 to the Registration Statement filed on August 16,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00"/>
        <w:gridCol w:w="60"/>
        <w:gridCol w:w="9645"/>
      </w:tblGrid>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Second Amendment to the Exclusive License Agreement to Compositions and Methods for Treating Cancer and Autoimmune Diseases, dated March 7, 2024, between Kairos Pharma, Ltd. and Cedars-Sinai Medical Center (incorporated by reference to Exhibit 10.33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Third Amendment to Exclusive License to Compositions and Methods for Treating Diseases and Conditions by Depletion of Mitochondrial or Genomic DNA, dated March 7, 2024, between Enviro Therapeutics, Inc. and Cedars-Sinai Medical Center(incorporated by reference to Exhibit 10.34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Third Amendment to the Exclusive License Agreement to Sensitization of Tumors to Therapies Through Endoglin Antoganism, dated March 7, 2024, between Enviro Therapeutics, Inc. and Cedars-Sinai Medical Center (incorporated by reference to Exhibit 10.35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Loan Agreement between the Company and Certain Officers (incorporated by reference to Exhibit 10.36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 xml:space="preserve">Master Services Agreement, dated August 1, 2024, between Kairos Pharma Limited and Prevail InfoWorks, Inc. (incorporated by reference to Exhibit 10.37 to the Registration Statement filed on August 16, 2024) </w:t>
              </w:r>
            </w:hyperlink>
            <w:hyperlink r:id="rId48">
              <w:r>
                <w:rPr>
                  <w:rStyle w:val="InternetLink"/>
                  <w:rFonts w:ascii="Times New Roman;Times;Serif" w:hAnsi="Times New Roman;Times;Serif"/>
                  <w:b w:val="false"/>
                  <w:i w:val="false"/>
                  <w:caps w:val="false"/>
                  <w:smallCaps w:val="false"/>
                  <w:position w:val="7"/>
                  <w:sz w:val="16"/>
                  <w:sz w:val="20"/>
                </w:rPr>
                <w:t>(1)</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Amendment to Loan Agreement, dated August 16, 2024, between the Company and John S. Yu (incorporated by reference to Exhibit 10.38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Amendment to Loan Agreement, dated August 16, 2024, between the Company and Doug Samuelson (incorporated by reference to Exhibit 10.39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Amendment to Loan Agreement, dated August 16, 2024, between the Company and Neil Bhowmick (incorporated by reference to Exhibit 10.40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Bioassay Services Agreement, dated September 20, 2024, between the Company and PreCheck (incorporated by reference to Exhibit 10.1 to the Company’s current Report on Form 8-K filed on September 24,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Advertising Services Agreement, dated September 23, 2024, between the Company and CEO.CA Technologies, Inc. (incorporated by reference to Exhibit 10.1 to the Company’s Current Report on Form 8-K filed on September 27,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Advisory &amp; Consulting Agreement, dated September 23, 2024, between the Company and Belair Capital Advisors Inc. (incorporated by reference to Exhibit 10.2 to the Company’s Current Report on Form 8-K filed on September 27,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Consulting Agreement, dated October 1, 2024, between Kairos Pharma, Ltd, Cross Current Capital LLC and Alan Masley (incorporated by reference to Exhibit 10.1 to the Company’s Current Report on Form 8-K filed October 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Purchase Agreement, dated November 12, 2024, by and between Kairos Pharma, Ltd. and Helena Global Investment Opportunities I Ltd. (incorporated by reference to Exhibit 10.5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Second Conversion Agreement, dated November 13, 2024, by and between Kairos Pharma, Ltd. and Cedars-Sinai Medical Center. (incorporated by reference to Exhibit 10.6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Third Amendment to Exclusive License Agreement (Cancer Autoimmune), dated November 13, 2024, by and between Kairos Pharma, Ltd. and Cedars-Sinai Medical Center. (incorporated by reference to Exhibit 10.7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Fourth Amendment to Exclusive License Agreement (Depletion of DNA), dated November 13, 2024, by and between Kairos Pharma, Ltd. and Cedars-Sinai Medical Center and Enviro Therapeutics, Inc (incorporated by reference to Exhibit 10.8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Third Amendment to Exclusive License Agreement (Fibrosis), dated November 13, 2024, by and between Kairos Pharma, Ltd. and Cedars-Sinai Medical Center. (incorporated by reference to Exhibit 10.9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Third Amendment to Exclusive License Agreement (RelA of NF-kB), dated November 13, 2024, by and between Kairos Pharma, Ltd. and Cedars-Sinai Medical Center. (incorporated by reference to Exhibit 10.10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Fourth Amendment to Exclusive License Agreement (Sensitization of Solid Tumors), dated November 13, 2024, by and between Enviro Therapeutics Inc. and Cedars-Sinai Medical Center. (incorporated by reference to Exhibit 10.11 to the Company’s Quartey Report on Form 10-Q, filed on November 14,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87"/>
        <w:gridCol w:w="60"/>
        <w:gridCol w:w="9558"/>
      </w:tblGrid>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the Amendment No.1 to the Employment Agreement by and between Kairos Pharma, Ltd and Doug Samuelson (incorporated by reference to Exhibit 10.12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the Amendment No.1 to the Employment Agreement by and between Kairos Pharma, Ltd and Dr. Ramachandran Murali (incorporated by reference to Exhibit 10.13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the Amendment No.1 to the Employment Agreement by and between Kairos Pharma, Ltd and Dr. Neil Bhowmick (incorporated by reference to Exhibit 10.14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Amendment No. 1 to Employment Agreement by and between Kairos Pharma, Ltd. and John S. Yu (incorporated by reference to Exhibit 10.15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Director Offer Letter, dated December 10, 2024, between Kairos Pharma, Ltd. and Rahul Singhvi (incorporated by reference to Exhibit 10.1 to the Current Report on Form 8-K filed on December 13,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Securities Purchase Agreement (incorporated by reference to Exhibit 10.1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Registration Rights Agreement (incorporated by reference to Exhibit 10.2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Lock-up Agreement (incorporated by reference to Exhibit 10.3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Form of Amended and Restated Securities Purchase Agreement (incorporated by reference to Exhibit 10.1 to the Company’s Current Report on Form 8-K filed January 17,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Placement Agent Agreement, dated January 16, 2025, between Kairos Pharma, Ltd. and Boustead Securities LLC (incorporated by reference to Exhibit 10.3 to the Company’s Current Report on Form 8-K filed January 17,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Services Agreement, dated June 10, 2025, between Kairos Pharma Ltd and the Company and Barretto Pacific Corporation (incorporated by reference to Exhibit 99.1 to the Company’s Current Report on Form 8-K filed June 12,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Novation Agreement between Kairos Pharma, Ltd., Enviro Therapeutics, Inc. and Cedars-Sinao Medical Center (incorporated by reference to Exhibit 10.1 to the Company’s Current Report on Form 8-K filed October 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Novation Agreement between Kairos Pharma Ltd, Enviro Therapeutics, Inc. and Tracon Pharmaceuticals, Inc. (incorporated by reference to Exhibit 10.2 to the Company’s Current Report on Form 8-K filed October 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Restricted Stock Unit Grant Agreement (incorporated by reference to Exhibit 10.1 to the Current Report on Form 8-K filed October 15, 2025).</w:t>
              </w:r>
            </w:hyperlink>
          </w:p>
        </w:tc>
      </w:tr>
      <w:tr>
        <w:trPr/>
        <w:tc>
          <w:tcPr>
            <w:tcW w:w="587" w:type="dxa"/>
            <w:tcBorders/>
            <w:shd w:fill="FFFFFF" w:val="clear"/>
            <w:vAlign w:val="center"/>
          </w:tcPr>
          <w:p>
            <w:pPr>
              <w:pStyle w:val="TableContents"/>
              <w:bidi w:val="0"/>
              <w:spacing w:before="0" w:after="283"/>
              <w:jc w:val="both"/>
              <w:rPr>
                <w:sz w:val="20"/>
              </w:rPr>
            </w:pPr>
            <w:r>
              <w:rPr>
                <w:sz w:val="20"/>
              </w:rPr>
              <w:t>10.64</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7">
              <w:r>
                <w:rPr>
                  <w:rStyle w:val="InternetLink"/>
                  <w:sz w:val="20"/>
                </w:rPr>
                <w:t>Novation Agreement, dated October 7, 2025 but effective April 17, 2025, between Kairos Pharma, Ltd, Enviro Therapeutics, Inc. and Tracon Pharmaceuticals, Inc. (incorporated by reference to the Current Report on Form 8-K filed October 7, 2025).</w:t>
              </w:r>
            </w:hyperlink>
          </w:p>
        </w:tc>
      </w:tr>
      <w:tr>
        <w:trPr/>
        <w:tc>
          <w:tcPr>
            <w:tcW w:w="587" w:type="dxa"/>
            <w:tcBorders/>
            <w:shd w:fill="FFFFFF" w:val="clear"/>
            <w:vAlign w:val="center"/>
          </w:tcPr>
          <w:p>
            <w:pPr>
              <w:pStyle w:val="TableContents"/>
              <w:bidi w:val="0"/>
              <w:spacing w:before="0" w:after="283"/>
              <w:jc w:val="both"/>
              <w:rPr>
                <w:sz w:val="20"/>
              </w:rPr>
            </w:pPr>
            <w:r>
              <w:rPr>
                <w:sz w:val="20"/>
              </w:rPr>
              <w:t>10.65</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8">
              <w:r>
                <w:rPr>
                  <w:rStyle w:val="InternetLink"/>
                  <w:sz w:val="20"/>
                </w:rPr>
                <w:t>Novation Agreement, dated October 7, 2025, between Kairos Phrma, Ltd., Enviro Therapeutics, Inc. and Tracon Pharmaceuticals, Inc. (incorporated by reference to the Current Report on Form 8-K filed October 7, 2025).</w:t>
              </w:r>
            </w:hyperlink>
          </w:p>
        </w:tc>
      </w:tr>
      <w:tr>
        <w:trPr/>
        <w:tc>
          <w:tcPr>
            <w:tcW w:w="587" w:type="dxa"/>
            <w:tcBorders/>
            <w:shd w:fill="FFFFFF" w:val="clear"/>
            <w:vAlign w:val="center"/>
          </w:tcPr>
          <w:p>
            <w:pPr>
              <w:pStyle w:val="TableContents"/>
              <w:bidi w:val="0"/>
              <w:spacing w:before="0" w:after="283"/>
              <w:jc w:val="both"/>
              <w:rPr>
                <w:sz w:val="20"/>
              </w:rPr>
            </w:pPr>
            <w:r>
              <w:rPr>
                <w:sz w:val="20"/>
              </w:rPr>
              <w:t>10.66</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9">
              <w:r>
                <w:rPr>
                  <w:rStyle w:val="InternetLink"/>
                  <w:sz w:val="20"/>
                </w:rPr>
                <w:t>Form of Amendment No. 83 to Sales Agreement, dated November 12, 2025, between Kairos Pharma Ltd. and Lonza Sales AG (incorporated by reference to Exhibit 10.3 to the Quarterly Report on Form 10-Q filed November 14, 2025).</w:t>
              </w:r>
            </w:hyperlink>
          </w:p>
        </w:tc>
      </w:tr>
      <w:tr>
        <w:trPr/>
        <w:tc>
          <w:tcPr>
            <w:tcW w:w="587" w:type="dxa"/>
            <w:tcBorders/>
            <w:shd w:fill="FFFFFF" w:val="clear"/>
            <w:vAlign w:val="center"/>
          </w:tcPr>
          <w:p>
            <w:pPr>
              <w:pStyle w:val="TableContents"/>
              <w:bidi w:val="0"/>
              <w:spacing w:before="0" w:after="283"/>
              <w:jc w:val="both"/>
              <w:rPr/>
            </w:pPr>
            <w:r>
              <w:rPr/>
              <w:t>10.67</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80">
              <w:r>
                <w:rPr>
                  <w:rStyle w:val="InternetLink"/>
                </w:rPr>
                <w:t>Form of Restricted Stock Unit Grant Agreement (incorporated by reference to Exhibit 10.1 to the Company’s Current Report on Form 8-K filed October 15,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Term Sheet, dated March 2, 2026, by and between Kairos Pharma, Ltd. and Celyn Therapeutics, Inc. (incorporated by reference to Exhibit 10.1 to the Current Report on Form 8-K filed March 2, 2026).</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1">
              <w:r>
                <w:rPr>
                  <w:rStyle w:val="InternetLink"/>
                  <w:rFonts w:ascii="Times New Roman;Times;Serif" w:hAnsi="Times New Roman;Times;Serif"/>
                  <w:b w:val="false"/>
                  <w:i w:val="false"/>
                  <w:caps w:val="false"/>
                  <w:smallCaps w:val="false"/>
                  <w:sz w:val="20"/>
                </w:rPr>
                <w:t>Statement of Work 86 to the Lonza Sales Agreement, dated March 27, 2026, between Kairos Pharma, Ltd. and Lonza Sales AG.*</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Code of Business Conduct and Ethics (incorporated by reference to Exhibit 14.1 to the Company’s Amendment No. 1 to its Annual Report on Form 10-K/A filed April 29,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Insider Trading Policy (incorporated by reference to Exhibit 19.1 to Amendment No. 1 to the Company’s Annual Report on Form 10-K/A filed on April 29,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2">
              <w:r>
                <w:rPr>
                  <w:rStyle w:val="InternetLink"/>
                  <w:rFonts w:ascii="Times New Roman;Times;Serif" w:hAnsi="Times New Roman;Times;Serif"/>
                  <w:b w:val="false"/>
                  <w:i w:val="false"/>
                  <w:caps w:val="false"/>
                  <w:smallCaps w:val="false"/>
                  <w:sz w:val="20"/>
                </w:rPr>
                <w:t>Consent of Weinberg and Company, P.A.</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3">
              <w:r>
                <w:rPr>
                  <w:rStyle w:val="InternetLink"/>
                  <w:rFonts w:ascii="Times New Roman;Times;Serif" w:hAnsi="Times New Roman;Times;Serif"/>
                  <w:b w:val="false"/>
                  <w:i w:val="false"/>
                  <w:caps w:val="false"/>
                  <w:smallCaps w:val="false"/>
                  <w:sz w:val="20"/>
                </w:rPr>
                <w:t>Consent of Marcum LLP</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4">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5">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7">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EX_008">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Policy for Recovery of Erroneously Awarded Compensation, adopted March 1, 2024 (incorporated by reference to Exhibit 97.1 to the Company’s Amendment No. 1 to its Annual Report on Form 10-K/A filed April 29,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41"/>
        <w:gridCol w:w="107"/>
        <w:gridCol w:w="9457"/>
      </w:tblGrid>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6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64"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exhibit has been redacted because (i) it is not material and (ii) it is the type of information that the company normally treats as private or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n_024"/>
      <w:bookmarkEnd w:id="36"/>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n_025"/>
      <w:bookmarkEnd w:id="3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Company has duly caused this Annual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shd w:fill="FFFFFF" w:val="clear"/>
        <w:tblLayout w:type="fixed"/>
        <w:tblCellMar>
          <w:top w:w="0" w:type="dxa"/>
          <w:left w:w="0" w:type="dxa"/>
          <w:bottom w:w="0" w:type="dxa"/>
          <w:right w:w="0" w:type="dxa"/>
        </w:tblCellMar>
      </w:tblPr>
      <w:tblGrid>
        <w:gridCol w:w="1805"/>
        <w:gridCol w:w="320"/>
        <w:gridCol w:w="2870"/>
      </w:tblGrid>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Annual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shd w:fill="FFFFFF" w:val="clear"/>
        <w:tblLayout w:type="fixed"/>
        <w:tblCellMar>
          <w:top w:w="0" w:type="dxa"/>
          <w:left w:w="0" w:type="dxa"/>
          <w:bottom w:w="28" w:type="dxa"/>
          <w:right w:w="0" w:type="dxa"/>
        </w:tblCellMar>
      </w:tblPr>
      <w:tblGrid>
        <w:gridCol w:w="2360"/>
        <w:gridCol w:w="60"/>
        <w:gridCol w:w="3515"/>
        <w:gridCol w:w="60"/>
        <w:gridCol w:w="1325"/>
      </w:tblGrid>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 Samuelson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Hyun W. Bae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/s/Hansoo Michael Keyoung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Rahul Singhvi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8" w:name="EX_001"/>
      <w:bookmarkEnd w:id="38"/>
      <w:r>
        <w:rPr>
          <w:b/>
        </w:rPr>
        <w:t>Exhibit 10.69</w:t>
      </w:r>
    </w:p>
    <w:p>
      <w:pPr>
        <w:pStyle w:val="TextBody"/>
        <w:bidi w:val="0"/>
        <w:jc w:val="center"/>
        <w:rPr/>
      </w:pPr>
      <w:r>
        <w:rPr/>
        <w:t> </w:t>
      </w:r>
    </w:p>
    <w:p>
      <w:pPr>
        <w:pStyle w:val="TextBody"/>
        <w:bidi w:val="0"/>
        <w:jc w:val="center"/>
        <w:rPr/>
      </w:pPr>
      <w:r>
        <w:rPr/>
        <w:drawing>
          <wp:inline distT="0" distB="0" distL="0" distR="0">
            <wp:extent cx="8229600" cy="1067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5"/>
                    <a:stretch>
                      <a:fillRect/>
                    </a:stretch>
                  </pic:blipFill>
                  <pic:spPr bwMode="auto">
                    <a:xfrm>
                      <a:off x="0" y="0"/>
                      <a:ext cx="8229600" cy="106711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63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6"/>
                    <a:stretch>
                      <a:fillRect/>
                    </a:stretch>
                  </pic:blipFill>
                  <pic:spPr bwMode="auto">
                    <a:xfrm>
                      <a:off x="0" y="0"/>
                      <a:ext cx="8572500" cy="1116330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34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7"/>
                    <a:stretch>
                      <a:fillRect/>
                    </a:stretch>
                  </pic:blipFill>
                  <pic:spPr bwMode="auto">
                    <a:xfrm>
                      <a:off x="0" y="0"/>
                      <a:ext cx="8572500" cy="111347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15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8"/>
                    <a:stretch>
                      <a:fillRect/>
                    </a:stretch>
                  </pic:blipFill>
                  <pic:spPr bwMode="auto">
                    <a:xfrm>
                      <a:off x="0" y="0"/>
                      <a:ext cx="8572500" cy="11115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15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89"/>
                    <a:stretch>
                      <a:fillRect/>
                    </a:stretch>
                  </pic:blipFill>
                  <pic:spPr bwMode="auto">
                    <a:xfrm>
                      <a:off x="0" y="0"/>
                      <a:ext cx="8572500" cy="11115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39" w:name="EX_002"/>
      <w:bookmarkEnd w:id="39"/>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(File No. 333-292686), Form S-1 (File Nos. 333-286662 and 333-284569) and Form S-8 (File No. 333-282391), of our report dated March 31, 2026, (which report contains an explanatory paragraph describing conditions that raise substantial doubt about Kairos Pharma, Ltd.’s ability to continue as a going concern) relating to the financial statements of Kairos Pharma, Ltd. as of December 31, 2025 and for the year then ended, included in this Annual Report on Form 10-K for the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X_003"/>
      <w:bookmarkEnd w:id="40"/>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Forms S-1 (Nos. 333-284569 and 333-286662), Form S-3 (No. 333-292686) and Form S-8 (No. 333-282391) of our report dated April 15, 2025, with respect to the consolidated financial statements of Kairos Pharma, Ltd. included in this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1" w:name="EX_004"/>
      <w:bookmarkEnd w:id="41"/>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S. Yu,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fiscal year ended December 31, 2025 of Kairos Pharma, Ltd.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05"/>
        <w:gridCol w:w="236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2" w:name="EX_005"/>
      <w:bookmarkEnd w:id="42"/>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Samuelson,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32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3" w:name="EX_007"/>
      <w:bookmarkEnd w:id="43"/>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Kairos Pharma, Ltd. (the “Company”) on Form 10-K for the fiscal year ended December 31, 2025, as filed with the Securities and Exchange Commission on the date hereof (the “Report”), I, John S. Yu,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4" w:name="EX_008"/>
      <w:bookmarkEnd w:id="44"/>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Kairos Pharma, Ltd. (the “Company”) on Form 10-K for the fiscal year ended December 31, 2025, as filed with the Securities and Exchange Commission on the date hereof (the “Report”), I, Doug Samuelson,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962011/000149315226001909/ex1-2.htm" TargetMode="External"/><Relationship Id="rId6" Type="http://schemas.openxmlformats.org/officeDocument/2006/relationships/hyperlink" Target="https://www.sec.gov/Archives/edgar/data/1962011/000149315223034915/ex3-5.htm" TargetMode="External"/><Relationship Id="rId7" Type="http://schemas.openxmlformats.org/officeDocument/2006/relationships/hyperlink" Target="https://www.sec.gov/Archives/edgar/data/1962011/000149315223034915/ex3-6.htm" TargetMode="External"/><Relationship Id="rId8" Type="http://schemas.openxmlformats.org/officeDocument/2006/relationships/hyperlink" Target="https://www.sec.gov/Archives/edgar/data/1962011/000149315224017318/ex4-1.htm" TargetMode="External"/><Relationship Id="rId9" Type="http://schemas.openxmlformats.org/officeDocument/2006/relationships/hyperlink" Target="https://www.sec.gov/Archives/edgar/data/1962011/000149315225002048/ex4-1.htm" TargetMode="External"/><Relationship Id="rId10" Type="http://schemas.openxmlformats.org/officeDocument/2006/relationships/hyperlink" Target="https://www.sec.gov/Archives/edgar/data/1962011/000149315225002832/ex4-2.htm" TargetMode="External"/><Relationship Id="rId11" Type="http://schemas.openxmlformats.org/officeDocument/2006/relationships/hyperlink" Target="https://www.sec.gov/Archives/edgar/data/1962011/000149315225002832/ex4-3.htm" TargetMode="External"/><Relationship Id="rId12" Type="http://schemas.openxmlformats.org/officeDocument/2006/relationships/hyperlink" Target="https://www.sec.gov/Archives/edgar/data/1962011/000164117225006509/ex4-5.htm" TargetMode="External"/><Relationship Id="rId13" Type="http://schemas.openxmlformats.org/officeDocument/2006/relationships/hyperlink" Target="https://www.sec.gov/Archives/edgar/data/1962011/000149315223034915/ex10-1.htm" TargetMode="External"/><Relationship Id="rId14" Type="http://schemas.openxmlformats.org/officeDocument/2006/relationships/hyperlink" Target="https://www.sec.gov/Archives/edgar/data/1962011/000149315223034915/ex10-2.htm" TargetMode="External"/><Relationship Id="rId15" Type="http://schemas.openxmlformats.org/officeDocument/2006/relationships/hyperlink" Target="https://www.sec.gov/Archives/edgar/data/1962011/000149315223034915/ex10-3.htm" TargetMode="External"/><Relationship Id="rId16" Type="http://schemas.openxmlformats.org/officeDocument/2006/relationships/hyperlink" Target="https://www.sec.gov/Archives/edgar/data/1962011/000149315223034915/ex10-4.htm" TargetMode="External"/><Relationship Id="rId17" Type="http://schemas.openxmlformats.org/officeDocument/2006/relationships/hyperlink" Target="https://www.sec.gov/Archives/edgar/data/1962011/000149315223034915/ex10-5.htm" TargetMode="External"/><Relationship Id="rId18" Type="http://schemas.openxmlformats.org/officeDocument/2006/relationships/hyperlink" Target="https://www.sec.gov/Archives/edgar/data/1962011/000149315223034915/ex10-6.htm" TargetMode="External"/><Relationship Id="rId19" Type="http://schemas.openxmlformats.org/officeDocument/2006/relationships/hyperlink" Target="https://www.sec.gov/Archives/edgar/data/1962011/000149315223034915/ex10-7.htm" TargetMode="External"/><Relationship Id="rId20" Type="http://schemas.openxmlformats.org/officeDocument/2006/relationships/hyperlink" Target="https://www.sec.gov/Archives/edgar/data/1962011/000149315223034915/ex10-8.htm" TargetMode="External"/><Relationship Id="rId21" Type="http://schemas.openxmlformats.org/officeDocument/2006/relationships/hyperlink" Target="https://www.sec.gov/Archives/edgar/data/1962011/000149315223034915/ex10-9.htm" TargetMode="External"/><Relationship Id="rId22" Type="http://schemas.openxmlformats.org/officeDocument/2006/relationships/hyperlink" Target="https://www.sec.gov/Archives/edgar/data/1962011/000149315223034915/ex10-11.htm" TargetMode="External"/><Relationship Id="rId23" Type="http://schemas.openxmlformats.org/officeDocument/2006/relationships/hyperlink" Target="https://www.sec.gov/Archives/edgar/data/1962011/000149315223034915/ex10-12.htm" TargetMode="External"/><Relationship Id="rId24" Type="http://schemas.openxmlformats.org/officeDocument/2006/relationships/hyperlink" Target="https://www.sec.gov/Archives/edgar/data/1962011/000149315223034915/ex10-13.htm" TargetMode="External"/><Relationship Id="rId25" Type="http://schemas.openxmlformats.org/officeDocument/2006/relationships/hyperlink" Target="https://www.sec.gov/Archives/edgar/data/1962011/000149315223034915/ex10-14.htm" TargetMode="External"/><Relationship Id="rId26" Type="http://schemas.openxmlformats.org/officeDocument/2006/relationships/hyperlink" Target="https://www.sec.gov/Archives/edgar/data/1962011/000149315223034915/ex10-15.htm" TargetMode="External"/><Relationship Id="rId27" Type="http://schemas.openxmlformats.org/officeDocument/2006/relationships/hyperlink" Target="https://www.sec.gov/Archives/edgar/data/1962011/000149315223034915/ex10-16.htm" TargetMode="External"/><Relationship Id="rId28" Type="http://schemas.openxmlformats.org/officeDocument/2006/relationships/hyperlink" Target="https://www.sec.gov/Archives/edgar/data/1962011/000149315223034915/ex10-17.htm" TargetMode="External"/><Relationship Id="rId29" Type="http://schemas.openxmlformats.org/officeDocument/2006/relationships/hyperlink" Target="https://www.sec.gov/Archives/edgar/data/1962011/000149315223034915/ex10-18.htm" TargetMode="External"/><Relationship Id="rId30" Type="http://schemas.openxmlformats.org/officeDocument/2006/relationships/hyperlink" Target="https://www.sec.gov/Archives/edgar/data/1962011/000149315223034915/ex10-20.htm" TargetMode="External"/><Relationship Id="rId31" Type="http://schemas.openxmlformats.org/officeDocument/2006/relationships/hyperlink" Target="https://www.sec.gov/Archives/edgar/data/1962011/000149315223034915/ex10-21.htm" TargetMode="External"/><Relationship Id="rId32" Type="http://schemas.openxmlformats.org/officeDocument/2006/relationships/hyperlink" Target="https://www.sec.gov/Archives/edgar/data/1962011/000149315223034915/ex10-22.htm" TargetMode="External"/><Relationship Id="rId33" Type="http://schemas.openxmlformats.org/officeDocument/2006/relationships/hyperlink" Target="https://www.sec.gov/Archives/edgar/data/1962011/000149315223034915/ex10-23.htm" TargetMode="External"/><Relationship Id="rId34" Type="http://schemas.openxmlformats.org/officeDocument/2006/relationships/hyperlink" Target="https://www.sec.gov/Archives/edgar/data/1962011/000149315223034915/ex10-24.htm" TargetMode="External"/><Relationship Id="rId35" Type="http://schemas.openxmlformats.org/officeDocument/2006/relationships/hyperlink" Target="https://www.sec.gov/Archives/edgar/data/1962011/000149315223034915/ex10-25.htm" TargetMode="External"/><Relationship Id="rId36" Type="http://schemas.openxmlformats.org/officeDocument/2006/relationships/hyperlink" Target="https://www.sec.gov/Archives/edgar/data/1962011/000149315223034915/ex10-26.htm" TargetMode="External"/><Relationship Id="rId37" Type="http://schemas.openxmlformats.org/officeDocument/2006/relationships/hyperlink" Target="https://www.sec.gov/Archives/edgar/data/1962011/000149315223034915/ex10-27.htm" TargetMode="External"/><Relationship Id="rId38" Type="http://schemas.openxmlformats.org/officeDocument/2006/relationships/hyperlink" Target="https://www.sec.gov/Archives/edgar/data/1962011/000149315223034915/ex10-28.htm" TargetMode="External"/><Relationship Id="rId39" Type="http://schemas.openxmlformats.org/officeDocument/2006/relationships/hyperlink" Target="https://www.sec.gov/Archives/edgar/data/1962011/000149315223034915/ex10-29.htm" TargetMode="External"/><Relationship Id="rId40" Type="http://schemas.openxmlformats.org/officeDocument/2006/relationships/hyperlink" Target="https://www.sec.gov/Archives/edgar/data/1962011/000149315224017318/ex10-30.htm" TargetMode="External"/><Relationship Id="rId41" Type="http://schemas.openxmlformats.org/officeDocument/2006/relationships/hyperlink" Target="https://www.sec.gov/Archives/edgar/data/1962011/000149315224017318/ex10-31.htm" TargetMode="External"/><Relationship Id="rId42" Type="http://schemas.openxmlformats.org/officeDocument/2006/relationships/hyperlink" Target="https://www.sec.gov/Archives/edgar/data/1962011/000149315224017318/ex10-32.htm" TargetMode="External"/><Relationship Id="rId43" Type="http://schemas.openxmlformats.org/officeDocument/2006/relationships/hyperlink" Target="https://www.sec.gov/Archives/edgar/data/1962011/000149315224017318/ex10-33.htm" TargetMode="External"/><Relationship Id="rId44" Type="http://schemas.openxmlformats.org/officeDocument/2006/relationships/hyperlink" Target="https://www.sec.gov/Archives/edgar/data/1962011/000149315224017318/ex10-34.htm" TargetMode="External"/><Relationship Id="rId45" Type="http://schemas.openxmlformats.org/officeDocument/2006/relationships/hyperlink" Target="https://www.sec.gov/Archives/edgar/data/1962011/000149315224017318/ex10-35.htm" TargetMode="External"/><Relationship Id="rId46" Type="http://schemas.openxmlformats.org/officeDocument/2006/relationships/hyperlink" Target="https://www.sec.gov/Archives/edgar/data/1962011/000149315224017318/ex10-36.htm" TargetMode="External"/><Relationship Id="rId47" Type="http://schemas.openxmlformats.org/officeDocument/2006/relationships/hyperlink" Target="https://www.sec.gov/Archives/edgar/data/1962011/000149315224032896/ex10-37.htm" TargetMode="External"/><Relationship Id="rId48" Type="http://schemas.openxmlformats.org/officeDocument/2006/relationships/hyperlink" Target="https://www.sec.gov/Archives/edgar/data/1962011/000149315224032896/ex10-37.htm" TargetMode="External"/><Relationship Id="rId49" Type="http://schemas.openxmlformats.org/officeDocument/2006/relationships/hyperlink" Target="https://www.sec.gov/Archives/edgar/data/1962011/000149315224032896/ex10-38.htm" TargetMode="External"/><Relationship Id="rId50" Type="http://schemas.openxmlformats.org/officeDocument/2006/relationships/hyperlink" Target="https://www.sec.gov/Archives/edgar/data/1962011/000149315224032896/ex10-39.htm" TargetMode="External"/><Relationship Id="rId51" Type="http://schemas.openxmlformats.org/officeDocument/2006/relationships/hyperlink" Target="https://www.sec.gov/Archives/edgar/data/1962011/000149315224032896/ex10-40.htm" TargetMode="External"/><Relationship Id="rId52" Type="http://schemas.openxmlformats.org/officeDocument/2006/relationships/hyperlink" Target="https://www.sec.gov/Archives/edgar/data/1962011/000149315224037958/ex10-1.htm" TargetMode="External"/><Relationship Id="rId53" Type="http://schemas.openxmlformats.org/officeDocument/2006/relationships/hyperlink" Target="https://www.sec.gov/Archives/edgar/data/1962011/000149315224038590/ex10-1.htm" TargetMode="External"/><Relationship Id="rId54" Type="http://schemas.openxmlformats.org/officeDocument/2006/relationships/hyperlink" Target="https://www.sec.gov/Archives/edgar/data/1962011/000149315224038590/ex10-2.htm" TargetMode="External"/><Relationship Id="rId55" Type="http://schemas.openxmlformats.org/officeDocument/2006/relationships/hyperlink" Target="https://www.sec.gov/Archives/edgar/data/1962011/000149315224039586/ex10-1.htm" TargetMode="External"/><Relationship Id="rId56" Type="http://schemas.openxmlformats.org/officeDocument/2006/relationships/hyperlink" Target="https://www.sec.gov/Archives/edgar/data/1962011/000149315224045671/ex10-5.htm" TargetMode="External"/><Relationship Id="rId57" Type="http://schemas.openxmlformats.org/officeDocument/2006/relationships/hyperlink" Target="https://www.sec.gov/Archives/edgar/data/1962011/000149315224045671/ex10-6.htm" TargetMode="External"/><Relationship Id="rId58" Type="http://schemas.openxmlformats.org/officeDocument/2006/relationships/hyperlink" Target="https://www.sec.gov/Archives/edgar/data/1962011/000149315224045671/ex10-7.htm" TargetMode="External"/><Relationship Id="rId59" Type="http://schemas.openxmlformats.org/officeDocument/2006/relationships/hyperlink" Target="https://www.sec.gov/Archives/edgar/data/1962011/000149315224045671/ex10-8.htm" TargetMode="External"/><Relationship Id="rId60" Type="http://schemas.openxmlformats.org/officeDocument/2006/relationships/hyperlink" Target="https://www.sec.gov/Archives/edgar/data/1962011/000149315224045671/ex10-9.htm" TargetMode="External"/><Relationship Id="rId61" Type="http://schemas.openxmlformats.org/officeDocument/2006/relationships/hyperlink" Target="https://www.sec.gov/Archives/edgar/data/1962011/000149315224045671/ex10-10.htm" TargetMode="External"/><Relationship Id="rId62" Type="http://schemas.openxmlformats.org/officeDocument/2006/relationships/hyperlink" Target="https://www.sec.gov/Archives/edgar/data/1962011/000149315224045671/ex10-11.htm" TargetMode="External"/><Relationship Id="rId63" Type="http://schemas.openxmlformats.org/officeDocument/2006/relationships/hyperlink" Target="https://www.sec.gov/Archives/edgar/data/1962011/000149315224045671/ex10-12.htm" TargetMode="External"/><Relationship Id="rId64" Type="http://schemas.openxmlformats.org/officeDocument/2006/relationships/hyperlink" Target="https://www.sec.gov/Archives/edgar/data/1962011/000149315224045671/ex10-13.htm" TargetMode="External"/><Relationship Id="rId65" Type="http://schemas.openxmlformats.org/officeDocument/2006/relationships/hyperlink" Target="https://www.sec.gov/Archives/edgar/data/1962011/000149315224045671/ex10-14.htm" TargetMode="External"/><Relationship Id="rId66" Type="http://schemas.openxmlformats.org/officeDocument/2006/relationships/hyperlink" Target="https://www.sec.gov/Archives/edgar/data/1962011/000149315224045671/ex10-15.htm" TargetMode="External"/><Relationship Id="rId67" Type="http://schemas.openxmlformats.org/officeDocument/2006/relationships/hyperlink" Target="https://www.sec.gov/Archives/edgar/data/1962011/000149315224049994/ex10-1.htm" TargetMode="External"/><Relationship Id="rId68" Type="http://schemas.openxmlformats.org/officeDocument/2006/relationships/hyperlink" Target="https://www.sec.gov/Archives/edgar/data/1962011/000149315225002048/ex10-1.htm" TargetMode="External"/><Relationship Id="rId69" Type="http://schemas.openxmlformats.org/officeDocument/2006/relationships/hyperlink" Target="https://www.sec.gov/Archives/edgar/data/1962011/000149315225002048/ex10-2.htm" TargetMode="External"/><Relationship Id="rId70" Type="http://schemas.openxmlformats.org/officeDocument/2006/relationships/hyperlink" Target="https://www.sec.gov/Archives/edgar/data/1962011/000149315225002048/ex10-3.htm" TargetMode="External"/><Relationship Id="rId71" Type="http://schemas.openxmlformats.org/officeDocument/2006/relationships/hyperlink" Target="https://www.sec.gov/Archives/edgar/data/1962011/000149315225002832/ex10-1.htm" TargetMode="External"/><Relationship Id="rId72" Type="http://schemas.openxmlformats.org/officeDocument/2006/relationships/hyperlink" Target="https://www.sec.gov/Archives/edgar/data/1962011/000149315225002832/ex10-3.htm" TargetMode="External"/><Relationship Id="rId73" Type="http://schemas.openxmlformats.org/officeDocument/2006/relationships/hyperlink" Target="https://www.sec.gov/Archives/edgar/data/1962011/000164117225014905/ex99-1.htm" TargetMode="External"/><Relationship Id="rId74" Type="http://schemas.openxmlformats.org/officeDocument/2006/relationships/hyperlink" Target="https://www.sec.gov/Archives/edgar/data/1962011/000149315225017208/ex10-1.htm" TargetMode="External"/><Relationship Id="rId75" Type="http://schemas.openxmlformats.org/officeDocument/2006/relationships/hyperlink" Target="https://www.sec.gov/Archives/edgar/data/1962011/000149315225017208/ex10-2.htm" TargetMode="External"/><Relationship Id="rId76" Type="http://schemas.openxmlformats.org/officeDocument/2006/relationships/hyperlink" Target="https://www.sec.gov/Archives/edgar/data/1962011/000149315225018145/ex10-1.htm" TargetMode="External"/><Relationship Id="rId77" Type="http://schemas.openxmlformats.org/officeDocument/2006/relationships/hyperlink" Target="https://www.sec.gov/Archives/edgar/data/1962011/000149315225017208/ex10-1.htm" TargetMode="External"/><Relationship Id="rId78" Type="http://schemas.openxmlformats.org/officeDocument/2006/relationships/hyperlink" Target="https://www.sec.gov/Archives/edgar/data/1962011/000149315225017208/ex10-2.htm" TargetMode="External"/><Relationship Id="rId79" Type="http://schemas.openxmlformats.org/officeDocument/2006/relationships/hyperlink" Target="https://www.sec.gov/Archives/edgar/data/1962011/000149315225023276/ex10-3.htm" TargetMode="External"/><Relationship Id="rId80" Type="http://schemas.openxmlformats.org/officeDocument/2006/relationships/hyperlink" Target="https://www.sec.gov/Archives/edgar/data/1962011/000149315225018145/form8-k.htm" TargetMode="External"/><Relationship Id="rId81" Type="http://schemas.openxmlformats.org/officeDocument/2006/relationships/hyperlink" Target="https://www.sec.gov/Archives/edgar/data/1962011/000149315226008435/ex10-1.htm" TargetMode="External"/><Relationship Id="rId82" Type="http://schemas.openxmlformats.org/officeDocument/2006/relationships/hyperlink" Target="https://www.sec.gov/Archives/edgar/data/1962011/000164117225004920/ex14-1.htm" TargetMode="External"/><Relationship Id="rId83" Type="http://schemas.openxmlformats.org/officeDocument/2006/relationships/hyperlink" Target="https://www.sec.gov/Archives/edgar/data/1962011/000164117225004920/ex19-1.htm" TargetMode="External"/><Relationship Id="rId84" Type="http://schemas.openxmlformats.org/officeDocument/2006/relationships/hyperlink" Target="https://www.sec.gov/Archives/edgar/data/1962011/000164117225006509/ex97-1.htm" TargetMode="External"/><Relationship Id="rId85" Type="http://schemas.openxmlformats.org/officeDocument/2006/relationships/image" Target="media/image4.jpeg"/><Relationship Id="rId86" Type="http://schemas.openxmlformats.org/officeDocument/2006/relationships/image" Target="media/image5.jpeg"/><Relationship Id="rId87" Type="http://schemas.openxmlformats.org/officeDocument/2006/relationships/image" Target="media/image6.jpeg"/><Relationship Id="rId88" Type="http://schemas.openxmlformats.org/officeDocument/2006/relationships/image" Target="media/image7.jpeg"/><Relationship Id="rId89" Type="http://schemas.openxmlformats.org/officeDocument/2006/relationships/image" Target="media/image8.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101729</Words>
  <Characters>565724</Characters>
  <CharactersWithSpaces>669114</CharactersWithSpaces>
  <Paragraphs>9531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