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8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i w:val="false"/>
          <w:caps w:val="false"/>
          <w:smallCaps w:val="false"/>
          <w:sz w:val="20"/>
        </w:rPr>
        <w:t xml:space="preserve">June 30, </w:t>
      </w:r>
      <w:bookmarkStart w:id="5" w:name="xdx_90C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3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E_edei--EntityFileNumber_c20260101"/>
      <w:bookmarkEnd w:id="7"/>
      <w:r>
        <w:rPr>
          <w:rFonts w:ascii="Times New Roman;Times;Serif" w:hAnsi="Times New Roman;Times;Serif"/>
          <w:b w:val="false"/>
          <w:i w:val="false"/>
          <w:caps w:val="false"/>
          <w:smallCaps w:val="false"/>
          <w:sz w:val="20"/>
        </w:rPr>
        <w:t>001-42275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0_edei--EntityRegistrantName_c2026"/>
      <w:bookmarkEnd w:id="8"/>
      <w:r>
        <w:rPr>
          <w:rFonts w:ascii="Times New Roman;Times;Serif" w:hAnsi="Times New Roman;Times;Serif"/>
          <w:b/>
          <w:i w:val="false"/>
          <w:caps w:val="false"/>
          <w:smallCaps w:val="false"/>
          <w:sz w:val="36"/>
        </w:rPr>
        <w:t>KAIROS PHARMA,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46-2993314</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9_edei--EntityAddressAddressLine1_"/>
      <w:bookmarkEnd w:id="11"/>
      <w:r>
        <w:rPr>
          <w:rFonts w:ascii="Times New Roman;Times;Serif" w:hAnsi="Times New Roman;Times;Serif"/>
          <w:b/>
          <w:i w:val="false"/>
          <w:caps w:val="false"/>
          <w:smallCaps w:val="false"/>
          <w:sz w:val="20"/>
        </w:rPr>
        <w:t xml:space="preserve">2355 Westwood Blvd., </w:t>
      </w:r>
      <w:bookmarkStart w:id="12" w:name="xdx_903_edei--EntityAddressAddressLine2_"/>
      <w:bookmarkEnd w:id="12"/>
      <w:r>
        <w:rPr>
          <w:rFonts w:ascii="Times New Roman;Times;Serif" w:hAnsi="Times New Roman;Times;Serif"/>
          <w:b/>
          <w:i w:val="false"/>
          <w:caps w:val="false"/>
          <w:smallCaps w:val="false"/>
          <w:sz w:val="20"/>
        </w:rPr>
        <w:t>#139</w:t>
      </w:r>
    </w:p>
    <w:p>
      <w:pPr>
        <w:pStyle w:val="TextBody"/>
        <w:bidi w:val="0"/>
        <w:spacing w:before="0" w:after="0"/>
        <w:jc w:val="center"/>
        <w:rPr>
          <w:rFonts w:ascii="Times New Roman;Times;Serif" w:hAnsi="Times New Roman;Times;Serif"/>
          <w:b/>
          <w:i w:val="false"/>
          <w:caps w:val="false"/>
          <w:smallCaps w:val="false"/>
          <w:sz w:val="20"/>
        </w:rPr>
      </w:pPr>
      <w:bookmarkStart w:id="13" w:name="xdx_901_edei--EntityAddressCityOrTown_c2"/>
      <w:bookmarkEnd w:id="13"/>
      <w:r>
        <w:rPr>
          <w:rFonts w:ascii="Times New Roman;Times;Serif" w:hAnsi="Times New Roman;Times;Serif"/>
          <w:b/>
          <w:i w:val="false"/>
          <w:caps w:val="false"/>
          <w:smallCaps w:val="false"/>
          <w:sz w:val="20"/>
        </w:rPr>
        <w:t xml:space="preserve">Los Angeles </w:t>
      </w:r>
      <w:bookmarkStart w:id="14" w:name="xdx_90E_edei--EntityAddressStateOrProvin"/>
      <w:bookmarkEnd w:id="14"/>
      <w:r>
        <w:rPr>
          <w:rFonts w:ascii="Times New Roman;Times;Serif" w:hAnsi="Times New Roman;Times;Serif"/>
          <w:b/>
          <w:i w:val="false"/>
          <w:caps w:val="false"/>
          <w:smallCaps w:val="false"/>
          <w:sz w:val="20"/>
        </w:rPr>
        <w:t xml:space="preserve">CA </w:t>
      </w:r>
      <w:bookmarkStart w:id="15" w:name="xdx_905_edei--EntityAddressPostalZipCode"/>
      <w:bookmarkEnd w:id="15"/>
      <w:r>
        <w:rPr>
          <w:rFonts w:ascii="Times New Roman;Times;Serif" w:hAnsi="Times New Roman;Times;Serif"/>
          <w:b/>
          <w:i w:val="false"/>
          <w:caps w:val="false"/>
          <w:smallCaps w:val="false"/>
          <w:sz w:val="20"/>
        </w:rPr>
        <w:t>90064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4_edei--CityAreaCode_c20260101__20"/>
      <w:bookmarkEnd w:id="16"/>
      <w:r>
        <w:rPr>
          <w:rFonts w:ascii="Times New Roman;Times;Serif" w:hAnsi="Times New Roman;Times;Serif"/>
          <w:b/>
          <w:i w:val="false"/>
          <w:caps w:val="false"/>
          <w:smallCaps w:val="false"/>
          <w:sz w:val="20"/>
        </w:rPr>
        <w:t xml:space="preserve">(310) </w:t>
      </w:r>
      <w:bookmarkStart w:id="17" w:name="xdx_905_edei--LocalPhoneNumber_c20260101"/>
      <w:bookmarkEnd w:id="17"/>
      <w:r>
        <w:rPr>
          <w:rFonts w:ascii="Times New Roman;Times;Serif" w:hAnsi="Times New Roman;Times;Serif"/>
          <w:b/>
          <w:i w:val="false"/>
          <w:caps w:val="false"/>
          <w:smallCaps w:val="false"/>
          <w:sz w:val="20"/>
        </w:rPr>
        <w:t>948-2356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000" w:type="dxa"/>
        <w:jc w:val="left"/>
        <w:tblInd w:w="0" w:type="dxa"/>
        <w:tblLayout w:type="fixed"/>
        <w:tblCellMar>
          <w:top w:w="0" w:type="dxa"/>
          <w:left w:w="0" w:type="dxa"/>
          <w:bottom w:w="28" w:type="dxa"/>
          <w:right w:w="0" w:type="dxa"/>
        </w:tblCellMar>
      </w:tblPr>
      <w:tblGrid>
        <w:gridCol w:w="3560"/>
        <w:gridCol w:w="60"/>
        <w:gridCol w:w="1610"/>
        <w:gridCol w:w="60"/>
        <w:gridCol w:w="3710"/>
      </w:tblGrid>
      <w:tr>
        <w:trPr/>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101"/>
            <w:bookmarkEnd w:id="18"/>
            <w:r>
              <w:rPr>
                <w:rFonts w:ascii="Times New Roman;Times;Serif" w:hAnsi="Times New Roman;Times;Serif"/>
                <w:b w:val="false"/>
                <w:i w:val="false"/>
                <w:caps w:val="false"/>
                <w:smallCaps w:val="false"/>
                <w:sz w:val="20"/>
              </w:rPr>
              <w:t xml:space="preserve">Common Stock, par value $0.001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60101__2"/>
            <w:bookmarkEnd w:id="19"/>
            <w:r>
              <w:rPr>
                <w:rFonts w:ascii="Times New Roman;Times;Serif" w:hAnsi="Times New Roman;Times;Serif"/>
                <w:b w:val="false"/>
                <w:i w:val="false"/>
                <w:caps w:val="false"/>
                <w:smallCaps w:val="false"/>
                <w:sz w:val="20"/>
              </w:rPr>
              <w:t>KAPA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ExchangeName_c2026"/>
            <w:bookmarkEnd w:id="20"/>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9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C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D_edei--EntityFilerCategory_c20260"/>
            <w:bookmarkEnd w:id="2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C_edei--EntitySmallBusiness_c20260"/>
            <w:bookmarkEnd w:id="24"/>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A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issued and outstanding of the registrant’s common stock on August 12, 2026 was </w:t>
      </w:r>
      <w:bookmarkStart w:id="28" w:name="xdx_902_edei--EntityCommonStockSharesOut"/>
      <w:bookmarkEnd w:id="28"/>
      <w:r>
        <w:rPr>
          <w:rFonts w:ascii="Times New Roman;Times;Serif" w:hAnsi="Times New Roman;Times;Serif"/>
          <w:b w:val="false"/>
          <w:i w:val="false"/>
          <w:caps w:val="false"/>
          <w:smallCaps w:val="false"/>
          <w:sz w:val="20"/>
        </w:rPr>
        <w:t>23,697,683.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
        <w:gridCol w:w="9321"/>
        <w:gridCol w:w="246"/>
      </w:tblGrid>
      <w:tr>
        <w:trPr/>
        <w:tc>
          <w:tcPr>
            <w:tcW w:w="9959" w:type="dxa"/>
            <w:gridSpan w:val="2"/>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2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321"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2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Unaudited Condensed Consolidated Balance Sheets as of June 30, 2026, and December 31, 2025</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8"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Unaudited Condensed Consolidated Statements of Operations for the Six Months Ended June 30, 2026 and 2025</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Unaudited Condensed Consolidated Statements of Shareholders’ Equity (Deficit) for the Six Months Ended June 30, 2026 and 2025</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38"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2025</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321"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3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321"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321"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Control and Procedures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i w:val="false"/>
                  <w:caps w:val="false"/>
                  <w:smallCaps w:val="false"/>
                  <w:sz w:val="20"/>
                </w:rPr>
                <w:t>PART II - OTHER INFORMATION</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321"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Legal Proceedings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321"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321"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321"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321"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321"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Other Information</w:t>
              </w:r>
            </w:hyperlink>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3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321"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Exhibits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3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i w:val="false"/>
                  <w:caps w:val="false"/>
                  <w:smallCaps w:val="false"/>
                  <w:sz w:val="20"/>
                </w:rPr>
                <w:t>SIGNATURES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Condensed Consolidated Balance Sheets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par value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7_111_pn3n3_z0UyJNSq6wq4"/>
      <w:bookmarkStart w:id="33" w:name="xdx_307_111_pn3n3_z0UyJNSq6wq4"/>
      <w:bookmarkEnd w:id="33"/>
    </w:p>
    <w:tbl>
      <w:tblPr>
        <w:tblW w:w="10205" w:type="dxa"/>
        <w:jc w:val="left"/>
        <w:tblInd w:w="0" w:type="dxa"/>
        <w:tblLayout w:type="fixed"/>
        <w:tblCellMar>
          <w:top w:w="0" w:type="dxa"/>
          <w:left w:w="0" w:type="dxa"/>
          <w:bottom w:w="0" w:type="dxa"/>
          <w:right w:w="0" w:type="dxa"/>
        </w:tblCellMar>
      </w:tblPr>
      <w:tblGrid>
        <w:gridCol w:w="7495"/>
        <w:gridCol w:w="60"/>
        <w:gridCol w:w="186"/>
        <w:gridCol w:w="1014"/>
        <w:gridCol w:w="95"/>
        <w:gridCol w:w="60"/>
        <w:gridCol w:w="185"/>
        <w:gridCol w:w="998"/>
        <w:gridCol w:w="112"/>
      </w:tblGrid>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7_20260630_zr4CG31dSSg7"/>
            <w:bookmarkEnd w:id="34"/>
          </w:p>
        </w:tc>
        <w:tc>
          <w:tcPr>
            <w:tcW w:w="12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D_20251231_zFGBfjdjMDFd"/>
            <w:bookmarkEnd w:id="35"/>
          </w:p>
        </w:tc>
        <w:tc>
          <w:tcPr>
            <w:tcW w:w="118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2"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6" w:name="xdx_40E_eus-gaap--AssetsAbstract_iB"/>
            <w:bookmarkEnd w:id="36"/>
          </w:p>
        </w:tc>
      </w:tr>
      <w:tr>
        <w:trPr/>
        <w:tc>
          <w:tcPr>
            <w:tcW w:w="7495"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2_eus-gaap--AssetsCurrentAbstract_"/>
            <w:bookmarkEnd w:id="37"/>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0_eus-gaap--CashAndCashEquivalents"/>
            <w:bookmarkEnd w:id="38"/>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112" w:type="dxa"/>
            <w:tcBorders/>
            <w:shd w:fill="CCEEFF" w:val="clear"/>
            <w:vAlign w:val="center"/>
          </w:tcPr>
          <w:p>
            <w:pPr>
              <w:pStyle w:val="TableContents"/>
              <w:bidi w:val="0"/>
              <w:spacing w:before="0" w:after="283"/>
              <w:jc w:val="left"/>
              <w:rPr/>
            </w:pPr>
            <w:r>
              <w:rPr/>
              <w:t> </w:t>
            </w:r>
            <w:bookmarkStart w:id="39" w:name="xdx_404_ecustom--VendorAdvancesNet_i02I_"/>
            <w:bookmarkEnd w:id="39"/>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112" w:type="dxa"/>
            <w:tcBorders/>
            <w:shd w:fill="FFFFFF" w:val="clear"/>
            <w:vAlign w:val="center"/>
          </w:tcPr>
          <w:p>
            <w:pPr>
              <w:pStyle w:val="TableContents"/>
              <w:bidi w:val="0"/>
              <w:spacing w:before="0" w:after="283"/>
              <w:jc w:val="left"/>
              <w:rPr/>
            </w:pPr>
            <w:r>
              <w:rPr/>
              <w:t> </w:t>
            </w:r>
            <w:bookmarkStart w:id="40" w:name="xdx_403_eus-gaap--PrepaidExpenseAndOther"/>
            <w:bookmarkEnd w:id="40"/>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12" w:type="dxa"/>
            <w:tcBorders/>
            <w:shd w:fill="CCEEFF" w:val="clear"/>
            <w:vAlign w:val="center"/>
          </w:tcPr>
          <w:p>
            <w:pPr>
              <w:pStyle w:val="TableContents"/>
              <w:bidi w:val="0"/>
              <w:spacing w:before="0" w:after="283"/>
              <w:jc w:val="left"/>
              <w:rPr/>
            </w:pPr>
            <w:r>
              <w:rPr/>
              <w:t> </w:t>
            </w:r>
            <w:bookmarkStart w:id="41" w:name="xdx_40A_eus-gaap--AssetsCurrent_i02TI_ma"/>
            <w:bookmarkEnd w:id="41"/>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w:t>
            </w:r>
          </w:p>
        </w:tc>
        <w:tc>
          <w:tcPr>
            <w:tcW w:w="112"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2" w:name="xdx_404_eus-gaap--DeferredCosts_i01I_maA"/>
            <w:bookmarkEnd w:id="42"/>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w:t>
            </w:r>
          </w:p>
        </w:tc>
        <w:tc>
          <w:tcPr>
            <w:tcW w:w="112" w:type="dxa"/>
            <w:tcBorders/>
            <w:shd w:fill="FFFFFF" w:val="clear"/>
            <w:vAlign w:val="center"/>
          </w:tcPr>
          <w:p>
            <w:pPr>
              <w:pStyle w:val="TableContents"/>
              <w:bidi w:val="0"/>
              <w:spacing w:before="0" w:after="283"/>
              <w:jc w:val="left"/>
              <w:rPr/>
            </w:pPr>
            <w:r>
              <w:rPr/>
              <w:t> </w:t>
            </w:r>
            <w:bookmarkStart w:id="43" w:name="xdx_406_eus-gaap--IntangibleAssetsNetExc"/>
            <w:bookmarkEnd w:id="43"/>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12" w:type="dxa"/>
            <w:tcBorders/>
            <w:shd w:fill="CCEEFF" w:val="clear"/>
            <w:vAlign w:val="center"/>
          </w:tcPr>
          <w:p>
            <w:pPr>
              <w:pStyle w:val="TableContents"/>
              <w:bidi w:val="0"/>
              <w:spacing w:before="0" w:after="283"/>
              <w:jc w:val="left"/>
              <w:rPr/>
            </w:pPr>
            <w:r>
              <w:rPr/>
              <w:t> </w:t>
            </w:r>
            <w:bookmarkStart w:id="44" w:name="xdx_407_eus-gaap--AssetsNoncurrent_i01TI"/>
            <w:bookmarkEnd w:id="44"/>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w:t>
            </w:r>
          </w:p>
        </w:tc>
        <w:tc>
          <w:tcPr>
            <w:tcW w:w="112"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5" w:name="xdx_40A_eus-gaap--Assets_i01TI_mtAz7iz_z"/>
            <w:bookmarkEnd w:id="45"/>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112"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6" w:name="xdx_40C_eus-gaap--LiabilitiesAndStockhol"/>
            <w:bookmarkEnd w:id="46"/>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7" w:name="xdx_409_eus-gaap--LiabilitiesCurrentAbst"/>
            <w:bookmarkEnd w:id="47"/>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8" w:name="xdx_40F_eus-gaap--AccountsPayableAndAccr"/>
            <w:bookmarkEnd w:id="48"/>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112" w:type="dxa"/>
            <w:tcBorders/>
            <w:shd w:fill="FFFFFF" w:val="clear"/>
            <w:vAlign w:val="center"/>
          </w:tcPr>
          <w:p>
            <w:pPr>
              <w:pStyle w:val="TableContents"/>
              <w:bidi w:val="0"/>
              <w:spacing w:before="0" w:after="283"/>
              <w:jc w:val="left"/>
              <w:rPr/>
            </w:pPr>
            <w:r>
              <w:rPr/>
              <w:t> </w:t>
            </w:r>
            <w:bookmarkStart w:id="49" w:name="xdx_40A_eus-gaap--LiabilitiesCurrent_i02"/>
            <w:bookmarkEnd w:id="49"/>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112"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0" w:name="xdx_402_eus-gaap--CommitmentsAndContinge"/>
            <w:bookmarkEnd w:id="50"/>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1" w:name="xdx_40B_eus-gaap--StockholdersEquityAbst"/>
            <w:bookmarkEnd w:id="51"/>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6_eus-gaap--PreferredStockValue_i0"/>
            <w:bookmarkEnd w:id="52"/>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par value $</w:t>
            </w:r>
            <w:bookmarkStart w:id="53" w:name="xdx_90F_eus-gaap--PreferredStockParOrSta"/>
            <w:bookmarkStart w:id="54" w:name="xdx_903_eus-gaap--PreferredStockParOrSta"/>
            <w:bookmarkEnd w:id="53"/>
            <w:bookmarkEnd w:id="54"/>
            <w:r>
              <w:rPr>
                <w:rFonts w:ascii="Times New Roman;Times;Serif" w:hAnsi="Times New Roman;Times;Serif"/>
              </w:rPr>
              <w:t xml:space="preserve">0.001, </w:t>
            </w:r>
            <w:bookmarkStart w:id="55" w:name="xdx_901_eus-gaap--PreferredStockSharesAu"/>
            <w:bookmarkStart w:id="56" w:name="xdx_909_eus-gaap--PreferredStockSharesAu"/>
            <w:bookmarkEnd w:id="55"/>
            <w:bookmarkEnd w:id="56"/>
            <w:r>
              <w:rPr>
                <w:rFonts w:ascii="Times New Roman;Times;Serif" w:hAnsi="Times New Roman;Times;Serif"/>
              </w:rPr>
              <w:t xml:space="preserve">20,000,000 shares authorized; </w:t>
            </w:r>
            <w:bookmarkStart w:id="57" w:name="xdx_90E_eus-gaap--PreferredStockSharesOu"/>
            <w:bookmarkStart w:id="58" w:name="xdx_901_eus-gaap--PreferredStockSharesIs"/>
            <w:bookmarkStart w:id="59" w:name="xdx_902_eus-gaap--PreferredStockSharesOu"/>
            <w:bookmarkStart w:id="60" w:name="xdx_908_eus-gaap--PreferredStockSharesIs"/>
            <w:bookmarkEnd w:id="57"/>
            <w:bookmarkEnd w:id="58"/>
            <w:bookmarkEnd w:id="59"/>
            <w:bookmarkEnd w:id="60"/>
            <w:r>
              <w:rPr>
                <w:rFonts w:ascii="Times New Roman;Times;Serif" w:hAnsi="Times New Roman;Times;Serif"/>
              </w:rPr>
              <w:t>no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61" w:name="xdx_400_eus-gaap--CommonStockValue_i02I_"/>
            <w:bookmarkEnd w:id="61"/>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w:t>
            </w:r>
            <w:bookmarkStart w:id="62" w:name="xdx_90E_eus-gaap--CommonStockParOrStated"/>
            <w:bookmarkStart w:id="63" w:name="xdx_907_eus-gaap--CommonStockParOrStated"/>
            <w:bookmarkEnd w:id="62"/>
            <w:bookmarkEnd w:id="63"/>
            <w:r>
              <w:rPr>
                <w:rFonts w:ascii="Times New Roman;Times;Serif" w:hAnsi="Times New Roman;Times;Serif"/>
              </w:rPr>
              <w:t xml:space="preserve">0.001, </w:t>
            </w:r>
            <w:bookmarkStart w:id="64" w:name="xdx_905_eus-gaap--CommonStockSharesAutho"/>
            <w:bookmarkStart w:id="65" w:name="xdx_90D_eus-gaap--CommonStockSharesAutho"/>
            <w:bookmarkEnd w:id="64"/>
            <w:bookmarkEnd w:id="65"/>
            <w:r>
              <w:rPr>
                <w:rFonts w:ascii="Times New Roman;Times;Serif" w:hAnsi="Times New Roman;Times;Serif"/>
              </w:rPr>
              <w:t xml:space="preserve">100,000,000 shares authorized; </w:t>
            </w:r>
            <w:bookmarkStart w:id="66" w:name="xdx_90A_eus-gaap--CommonStockSharesOutst"/>
            <w:bookmarkStart w:id="67" w:name="xdx_90D_eus-gaap--CommonStockSharesIssue"/>
            <w:bookmarkEnd w:id="66"/>
            <w:bookmarkEnd w:id="67"/>
            <w:r>
              <w:rPr>
                <w:rFonts w:ascii="Times New Roman;Times;Serif" w:hAnsi="Times New Roman;Times;Serif"/>
              </w:rPr>
              <w:t xml:space="preserve">21,423,300 and </w:t>
            </w:r>
            <w:bookmarkStart w:id="68" w:name="xdx_90F_eus-gaap--CommonStockSharesOutst"/>
            <w:bookmarkStart w:id="69" w:name="xdx_90A_eus-gaap--CommonStockSharesIssue"/>
            <w:bookmarkEnd w:id="68"/>
            <w:bookmarkEnd w:id="69"/>
            <w:r>
              <w:rPr>
                <w:rFonts w:ascii="Times New Roman;Times;Serif" w:hAnsi="Times New Roman;Times;Serif"/>
              </w:rPr>
              <w:t>20,821,353 shares issued and outstanding on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112" w:type="dxa"/>
            <w:tcBorders/>
            <w:shd w:fill="CCEEFF" w:val="clear"/>
            <w:vAlign w:val="center"/>
          </w:tcPr>
          <w:p>
            <w:pPr>
              <w:pStyle w:val="TableContents"/>
              <w:bidi w:val="0"/>
              <w:spacing w:before="0" w:after="283"/>
              <w:jc w:val="left"/>
              <w:rPr/>
            </w:pPr>
            <w:r>
              <w:rPr/>
              <w:t> </w:t>
            </w:r>
            <w:bookmarkStart w:id="70" w:name="xdx_40A_eus-gaap--AdditionalPaidInCapita"/>
            <w:bookmarkEnd w:id="70"/>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112" w:type="dxa"/>
            <w:tcBorders/>
            <w:shd w:fill="FFFFFF" w:val="clear"/>
            <w:vAlign w:val="center"/>
          </w:tcPr>
          <w:p>
            <w:pPr>
              <w:pStyle w:val="TableContents"/>
              <w:bidi w:val="0"/>
              <w:spacing w:before="0" w:after="283"/>
              <w:jc w:val="left"/>
              <w:rPr/>
            </w:pPr>
            <w:r>
              <w:rPr/>
              <w:t> </w:t>
            </w:r>
            <w:bookmarkStart w:id="71" w:name="xdx_405_eus-gaap--RetainedEarningsAccumu"/>
            <w:bookmarkEnd w:id="71"/>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 w:name="xdx_40F_eus-gaap--StockholdersEquity_i02"/>
            <w:bookmarkEnd w:id="72"/>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112"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3" w:name="xdx_408_eus-gaap--LiabilitiesAndStockhol"/>
            <w:bookmarkEnd w:id="73"/>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112"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rFonts w:ascii="Times New Roman;Times;Serif" w:hAnsi="Times New Roman;Times;Serif"/>
          <w:b/>
          <w:i w:val="false"/>
          <w:caps w:val="false"/>
          <w:smallCaps w:val="false"/>
          <w:sz w:val="20"/>
        </w:rPr>
      </w:pPr>
      <w:bookmarkStart w:id="74" w:name="a_004"/>
      <w:bookmarkEnd w:id="74"/>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 w:name="xdx_305_113_pn3n3_zGnoosxkB9zd"/>
      <w:bookmarkStart w:id="76" w:name="xdx_305_113_pn3n3_zGnoosxkB9zd"/>
      <w:bookmarkEnd w:id="76"/>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4_20260401__20260630_zunXmvID8X81"/>
            <w:bookmarkEnd w:id="7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9E_20250401__20250630_zhZlsmgeP2Kc"/>
            <w:bookmarkEnd w:id="7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1_20260101__20260630_z1hHVxBlMHPj"/>
            <w:bookmarkEnd w:id="7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C_20250101__20250630_zzf9csELDILf"/>
            <w:bookmarkEnd w:id="80"/>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1" w:name="xdx_408_eus-gaap--Revenues_maOILzddv_zdS"/>
            <w:bookmarkEnd w:id="81"/>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 w:name="xdx_40A_eus-gaap--OperatingExpensesAbstr"/>
            <w:bookmarkEnd w:id="82"/>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 w:name="xdx_404_eus-gaap--ResearchAndDevelopment"/>
            <w:bookmarkEnd w:id="83"/>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989</w:t>
            </w:r>
          </w:p>
        </w:tc>
        <w:tc>
          <w:tcPr>
            <w:tcW w:w="110" w:type="dxa"/>
            <w:tcBorders/>
            <w:shd w:fill="FFFFFF" w:val="clear"/>
            <w:vAlign w:val="center"/>
          </w:tcPr>
          <w:p>
            <w:pPr>
              <w:pStyle w:val="TableContents"/>
              <w:bidi w:val="0"/>
              <w:spacing w:before="0" w:after="283"/>
              <w:jc w:val="left"/>
              <w:rPr/>
            </w:pPr>
            <w:r>
              <w:rPr/>
              <w:t> </w:t>
            </w:r>
            <w:bookmarkStart w:id="84" w:name="xdx_40D_eus-gaap--GeneralAndAdministrati"/>
            <w:bookmarkEnd w:id="84"/>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w:t>
            </w:r>
          </w:p>
        </w:tc>
        <w:tc>
          <w:tcPr>
            <w:tcW w:w="110" w:type="dxa"/>
            <w:tcBorders/>
            <w:shd w:fill="CCEEFF" w:val="clear"/>
            <w:vAlign w:val="center"/>
          </w:tcPr>
          <w:p>
            <w:pPr>
              <w:pStyle w:val="TableContents"/>
              <w:bidi w:val="0"/>
              <w:spacing w:before="0" w:after="283"/>
              <w:jc w:val="left"/>
              <w:rPr/>
            </w:pPr>
            <w:r>
              <w:rPr/>
              <w:t> </w:t>
            </w:r>
            <w:bookmarkStart w:id="85" w:name="xdx_409_eus-gaap--OperatingExpenses_i01T"/>
            <w:bookmarkEnd w:id="85"/>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 w:name="xdx_402_eus-gaap--OperatingIncomeLoss_iT"/>
            <w:bookmarkEnd w:id="86"/>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7" w:name="xdx_40B_eus-gaap--NonoperatingIncomeExpe"/>
            <w:bookmarkEnd w:id="87"/>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8" w:name="xdx_40C_eus-gaap--InvestmentIncomeNet_i0"/>
            <w:bookmarkEnd w:id="88"/>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bookmarkStart w:id="89" w:name="xdx_401_eus-gaap--NonoperatingIncomeExpe"/>
            <w:bookmarkEnd w:id="89"/>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 w:name="xdx_402_eus-gaap--NetIncomeLoss_iT_mtNIL"/>
            <w:bookmarkEnd w:id="90"/>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1" w:name="xdx_902_eus-gaap--EarningsPerShareDilute"/>
            <w:bookmarkStart w:id="92" w:name="xdx_90C_eus-gaap--EarningsPerShareBasic_"/>
            <w:bookmarkEnd w:id="91"/>
            <w:bookmarkEnd w:id="92"/>
            <w:r>
              <w:rPr>
                <w:rFonts w:ascii="Times New Roman;Times;Serif" w:hAnsi="Times New Roman;Times;Serif"/>
              </w:rPr>
              <w:t>(0.06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3" w:name="xdx_90E_eus-gaap--EarningsPerShareDilute"/>
            <w:bookmarkStart w:id="94" w:name="xdx_90D_eus-gaap--EarningsPerShareBasic_"/>
            <w:bookmarkEnd w:id="93"/>
            <w:bookmarkEnd w:id="94"/>
            <w:r>
              <w:rPr>
                <w:rFonts w:ascii="Times New Roman;Times;Serif" w:hAnsi="Times New Roman;Times;Serif"/>
              </w:rPr>
              <w:t>(0.08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5" w:name="xdx_902_eus-gaap--EarningsPerShareDilute"/>
            <w:bookmarkStart w:id="96" w:name="xdx_904_eus-gaap--EarningsPerShareBasic_"/>
            <w:bookmarkEnd w:id="95"/>
            <w:bookmarkEnd w:id="96"/>
            <w:r>
              <w:rPr>
                <w:rFonts w:ascii="Times New Roman;Times;Serif" w:hAnsi="Times New Roman;Times;Serif"/>
              </w:rPr>
              <w:t>(0.14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7" w:name="xdx_90D_eus-gaap--EarningsPerShareDilute"/>
            <w:bookmarkStart w:id="98" w:name="xdx_90C_eus-gaap--EarningsPerShareBasic_"/>
            <w:bookmarkEnd w:id="97"/>
            <w:bookmarkEnd w:id="98"/>
            <w:r>
              <w:rPr>
                <w:rFonts w:ascii="Times New Roman;Times;Serif" w:hAnsi="Times New Roman;Times;Serif"/>
              </w:rPr>
              <w:t>(0.16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99" w:name="xdx_906_eus-gaap--WeightedAverageNumberO"/>
            <w:bookmarkStart w:id="100" w:name="xdx_903_eus-gaap--WeightedAverageNumberO"/>
            <w:bookmarkEnd w:id="99"/>
            <w:bookmarkEnd w:id="100"/>
            <w:r>
              <w:rPr>
                <w:rFonts w:ascii="Times New Roman;Times;Serif" w:hAnsi="Times New Roman;Times;Serif"/>
              </w:rPr>
              <w:t>21,420,479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1" w:name="xdx_907_eus-gaap--WeightedAverageNumberO"/>
            <w:bookmarkStart w:id="102" w:name="xdx_90C_eus-gaap--WeightedAverageNumberO"/>
            <w:bookmarkEnd w:id="101"/>
            <w:bookmarkEnd w:id="102"/>
            <w:r>
              <w:rPr>
                <w:rFonts w:ascii="Times New Roman;Times;Serif" w:hAnsi="Times New Roman;Times;Serif"/>
              </w:rPr>
              <w:t>17,213,017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3" w:name="xdx_907_eus-gaap--WeightedAverageNumberO"/>
            <w:bookmarkStart w:id="104" w:name="xdx_90D_eus-gaap--WeightedAverageNumberO"/>
            <w:bookmarkEnd w:id="103"/>
            <w:bookmarkEnd w:id="104"/>
            <w:r>
              <w:rPr>
                <w:rFonts w:ascii="Times New Roman;Times;Serif" w:hAnsi="Times New Roman;Times;Serif"/>
              </w:rPr>
              <w:t>21,207,506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5" w:name="xdx_905_eus-gaap--WeightedAverageNumberO"/>
            <w:bookmarkStart w:id="106" w:name="xdx_907_eus-gaap--WeightedAverageNumberO"/>
            <w:bookmarkEnd w:id="105"/>
            <w:bookmarkEnd w:id="106"/>
            <w:r>
              <w:rPr>
                <w:rFonts w:ascii="Times New Roman;Times;Serif" w:hAnsi="Times New Roman;Times;Serif"/>
              </w:rPr>
              <w:t>16,307,308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rFonts w:ascii="Times New Roman;Times;Serif" w:hAnsi="Times New Roman;Times;Serif"/>
          <w:b/>
          <w:i w:val="false"/>
          <w:caps w:val="false"/>
          <w:smallCaps w:val="false"/>
          <w:sz w:val="20"/>
        </w:rPr>
      </w:pPr>
      <w:bookmarkStart w:id="107" w:name="a_005"/>
      <w:bookmarkEnd w:id="107"/>
      <w:r>
        <w:rPr>
          <w:rFonts w:ascii="Times New Roman;Times;Serif" w:hAnsi="Times New Roman;Times;Serif"/>
          <w:b/>
          <w:i w:val="false"/>
          <w:caps w:val="false"/>
          <w:smallCaps w:val="false"/>
          <w:sz w:val="20"/>
        </w:rPr>
        <w:t>Condensed Consolidated Statements of Shareholders’ Equity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amounts)</w:t>
      </w:r>
    </w:p>
    <w:p>
      <w:pPr>
        <w:pStyle w:val="TextBody"/>
        <w:bidi w:val="0"/>
        <w:jc w:val="center"/>
        <w:rPr/>
      </w:pPr>
      <w:r>
        <w:rPr/>
        <w:t> </w:t>
      </w:r>
    </w:p>
    <w:p>
      <w:pPr>
        <w:pStyle w:val="Normal"/>
        <w:bidi w:val="0"/>
        <w:spacing w:before="0" w:after="0"/>
        <w:jc w:val="left"/>
        <w:rPr>
          <w:sz w:val="4"/>
          <w:szCs w:val="4"/>
        </w:rPr>
      </w:pPr>
      <w:r>
        <w:rPr>
          <w:sz w:val="4"/>
          <w:szCs w:val="4"/>
        </w:rPr>
      </w:r>
      <w:bookmarkStart w:id="108" w:name="xdx_301_114_pn3n3_zvqN4T01z3s5"/>
      <w:bookmarkStart w:id="109" w:name="xdx_301_114_pn3n3_zvqN4T01z3s5"/>
      <w:bookmarkEnd w:id="109"/>
    </w:p>
    <w:tbl>
      <w:tblPr>
        <w:tblW w:w="10205" w:type="dxa"/>
        <w:jc w:val="left"/>
        <w:tblInd w:w="0" w:type="dxa"/>
        <w:tblLayout w:type="fixed"/>
        <w:tblCellMar>
          <w:top w:w="0" w:type="dxa"/>
          <w:left w:w="0" w:type="dxa"/>
          <w:bottom w:w="0" w:type="dxa"/>
          <w:right w:w="0" w:type="dxa"/>
        </w:tblCellMar>
      </w:tblPr>
      <w:tblGrid>
        <w:gridCol w:w="4255"/>
        <w:gridCol w:w="60"/>
        <w:gridCol w:w="60"/>
        <w:gridCol w:w="1100"/>
        <w:gridCol w:w="60"/>
        <w:gridCol w:w="60"/>
        <w:gridCol w:w="301"/>
        <w:gridCol w:w="559"/>
        <w:gridCol w:w="60"/>
        <w:gridCol w:w="60"/>
        <w:gridCol w:w="187"/>
        <w:gridCol w:w="913"/>
        <w:gridCol w:w="60"/>
        <w:gridCol w:w="60"/>
        <w:gridCol w:w="214"/>
        <w:gridCol w:w="1156"/>
        <w:gridCol w:w="95"/>
        <w:gridCol w:w="60"/>
        <w:gridCol w:w="140"/>
        <w:gridCol w:w="635"/>
        <w:gridCol w:w="110"/>
      </w:tblGrid>
      <w:tr>
        <w:trPr/>
        <w:tc>
          <w:tcPr>
            <w:tcW w:w="4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E_us-gaap--StatementEquityComponen"/>
            <w:bookmarkEnd w:id="11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B8_us-gaap--StatementEquityComponen"/>
            <w:bookmarkEnd w:id="111"/>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B6_us-gaap--StatementEquityComponen"/>
            <w:bookmarkEnd w:id="112"/>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B5_zHOnvcYpqVo1"/>
            <w:bookmarkEnd w:id="113"/>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4" w:name="xdx_433_c20260401__20260630_eus-gaap--St"/>
            <w:bookmarkEnd w:id="114"/>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 (unaudited)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5" w:name="xdx_98D_eus-gaap--SharesOutstanding_iS_p"/>
            <w:bookmarkEnd w:id="11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21,411,198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6_ecustom--StockIssuedDuringPeriod"/>
            <w:bookmarkEnd w:id="116"/>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sold through the At the Market (ATM) offering,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 w:name="xdx_989_ecustom--StockIssuedDuringPeriod"/>
            <w:bookmarkEnd w:id="11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A_eus-gaap--StockIssuedDuringPerio"/>
            <w:bookmarkEnd w:id="118"/>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 w:name="xdx_405_eus-gaap--NetIncomeLoss_zdEgaMQ9"/>
            <w:bookmarkEnd w:id="119"/>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three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30_c20260401__20260630_eus-gaap--St"/>
            <w:bookmarkEnd w:id="120"/>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 w:name="xdx_98C_eus-gaap--SharesOutstanding_iE_p"/>
            <w:bookmarkEnd w:id="12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4,191</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 w:name="xdx_438_c20260101__20260630_eus-gaap--St"/>
            <w:bookmarkEnd w:id="122"/>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 w:name="xdx_98E_eus-gaap--SharesOutstanding_iS_p"/>
            <w:bookmarkEnd w:id="12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 w:name="xdx_406_ecustom--StockIssuedDuringPeriod"/>
            <w:bookmarkEnd w:id="124"/>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sold through the At the Market (ATM) offering,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 w:name="xdx_982_ecustom--StockIssuedDuringPeriod"/>
            <w:bookmarkEnd w:id="12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0A_eus-gaap--StockIssuedDuringPerio"/>
            <w:bookmarkEnd w:id="126"/>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 w:name="xdx_405_eus-gaap--NetIncomeLoss_z7h7xwxj"/>
            <w:bookmarkEnd w:id="127"/>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six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8" w:name="xdx_431_c20260101__20260630_eus-gaap--St"/>
            <w:bookmarkEnd w:id="128"/>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9" w:name="xdx_98A_eus-gaap--SharesOutstanding_iE_p"/>
            <w:bookmarkEnd w:id="12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4,191</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0" w:name="xdx_43D_c20250401__20250630_eus-gaap--St"/>
            <w:bookmarkEnd w:id="130"/>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9_eus-gaap--SharesOutstanding_iS_p"/>
            <w:bookmarkEnd w:id="13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16,376,118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2" w:name="xdx_401_ecustom--StockIssuedDuringPeriod"/>
            <w:bookmarkEnd w:id="132"/>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the 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3_ecustom--StockIssuedDuringPeriod"/>
            <w:bookmarkEnd w:id="13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3_ecustom--StockIssuedDuringPeriod"/>
            <w:bookmarkEnd w:id="134"/>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through equity line of credit,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6_ecustom--StockIssuedDuringPeriod"/>
            <w:bookmarkEnd w:id="13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2_ecustom--StockIssuedDuringPeriod"/>
            <w:bookmarkEnd w:id="136"/>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recorded as a vendor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3_ecustom--StockIssuedDuringPeriod"/>
            <w:bookmarkEnd w:id="13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 w:name="xdx_40A_eus-gaap--StockIssuedDuringPerio"/>
            <w:bookmarkEnd w:id="138"/>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B_eus-gaap--NetIncomeLoss_zH7qbxrY"/>
            <w:bookmarkEnd w:id="139"/>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three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31_c20250401__20250630_eus-gaap--St"/>
            <w:bookmarkEnd w:id="140"/>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1" w:name="xdx_986_eus-gaap--SharesOutstanding_iE_p"/>
            <w:bookmarkEnd w:id="14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17,743,765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5,997</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2" w:name="xdx_437_c20250101__20250630_eus-gaap--St"/>
            <w:bookmarkEnd w:id="142"/>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3_eus-gaap--SharesOutstanding_iS_p"/>
            <w:bookmarkEnd w:id="14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CCEEFF" w:val="clear"/>
            <w:vAlign w:val="center"/>
          </w:tcPr>
          <w:p>
            <w:pPr>
              <w:pStyle w:val="TableContents"/>
              <w:bidi w:val="0"/>
              <w:spacing w:before="0" w:after="283"/>
              <w:jc w:val="left"/>
              <w:rPr/>
            </w:pPr>
            <w:r>
              <w:rPr/>
              <w:t> </w:t>
            </w:r>
            <w:bookmarkStart w:id="144" w:name="xdx_434_c20250101__20250630_eus-gaap--St"/>
            <w:bookmarkEnd w:id="144"/>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E_eus-gaap--SharesOutstanding_iS_p"/>
            <w:bookmarkEnd w:id="14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4_ecustom--StockIssuedDuringPeriod"/>
            <w:bookmarkEnd w:id="146"/>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to be issued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8_ecustom--StockIssuedDuringPeriod"/>
            <w:bookmarkEnd w:id="14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0_ecustom--StockIssuedDuringPeriod"/>
            <w:bookmarkEnd w:id="148"/>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of common shares and pre-funded warrants,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D_ecustom--StockIssuedDuringPeriod"/>
            <w:bookmarkEnd w:id="14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 w:name="xdx_407_ecustom--StockIssuedDuringPeriod"/>
            <w:bookmarkEnd w:id="150"/>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through equity line of credit,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8_ecustom--StockIssuedDuringPeriod"/>
            <w:bookmarkEnd w:id="15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F_ecustom--StockIssuedDuringPeriod"/>
            <w:bookmarkEnd w:id="152"/>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recorded as a vendor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5_ecustom--StockIssuedDuringPeriod"/>
            <w:bookmarkEnd w:id="15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4" w:name="xdx_40A_eus-gaap--StockIssuedDuringPerio"/>
            <w:bookmarkEnd w:id="154"/>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8_eus-gaap--StockIssuedDuringPerio"/>
            <w:bookmarkEnd w:id="15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110" w:type="dxa"/>
            <w:tcBorders/>
            <w:shd w:fill="CCEEFF" w:val="clear"/>
            <w:vAlign w:val="center"/>
          </w:tcPr>
          <w:p>
            <w:pPr>
              <w:pStyle w:val="TableContents"/>
              <w:bidi w:val="0"/>
              <w:spacing w:before="0" w:after="283"/>
              <w:jc w:val="left"/>
              <w:rPr/>
            </w:pPr>
            <w:r>
              <w:rPr/>
              <w:t> </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B_eus-gaap--NetIncomeLoss_z3Zsp4oA"/>
            <w:bookmarkEnd w:id="156"/>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six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7" w:name="xdx_43D_c20250101__20250630_eus-gaap--St"/>
            <w:bookmarkEnd w:id="157"/>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8" w:name="xdx_98E_eus-gaap--SharesOutstanding_iE_p"/>
            <w:bookmarkEnd w:id="15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17,743,765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5,997</w:t>
            </w:r>
          </w:p>
        </w:tc>
        <w:tc>
          <w:tcPr>
            <w:tcW w:w="110" w:type="dxa"/>
            <w:tcBorders/>
            <w:shd w:fill="CCEEFF" w:val="clear"/>
            <w:vAlign w:val="center"/>
          </w:tcPr>
          <w:p>
            <w:pPr>
              <w:pStyle w:val="TableContents"/>
              <w:bidi w:val="0"/>
              <w:spacing w:before="0" w:after="283"/>
              <w:jc w:val="left"/>
              <w:rPr/>
            </w:pPr>
            <w:r>
              <w:rPr/>
              <w:t> </w:t>
            </w:r>
            <w:bookmarkStart w:id="159" w:name="xdx_43E_c20250101__20250630_eus-gaap--St"/>
            <w:bookmarkEnd w:id="159"/>
          </w:p>
        </w:tc>
      </w:tr>
      <w:tr>
        <w:trPr/>
        <w:tc>
          <w:tcPr>
            <w:tcW w:w="42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98A_eus-gaap--SharesOutstanding_iE_p"/>
            <w:bookmarkEnd w:id="16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17,743,765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rFonts w:ascii="Times New Roman;Times;Serif" w:hAnsi="Times New Roman;Times;Serif"/>
          <w:b/>
          <w:i w:val="false"/>
          <w:caps w:val="false"/>
          <w:smallCaps w:val="false"/>
          <w:sz w:val="20"/>
        </w:rPr>
      </w:pPr>
      <w:bookmarkStart w:id="161" w:name="a_006"/>
      <w:bookmarkEnd w:id="161"/>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center"/>
        <w:rPr/>
      </w:pPr>
      <w:r>
        <w:rPr/>
        <w:t> </w:t>
      </w:r>
    </w:p>
    <w:p>
      <w:pPr>
        <w:pStyle w:val="Normal"/>
        <w:bidi w:val="0"/>
        <w:spacing w:before="0" w:after="0"/>
        <w:jc w:val="left"/>
        <w:rPr>
          <w:sz w:val="4"/>
          <w:szCs w:val="4"/>
        </w:rPr>
      </w:pPr>
      <w:r>
        <w:rPr>
          <w:sz w:val="4"/>
          <w:szCs w:val="4"/>
        </w:rPr>
      </w:r>
      <w:bookmarkStart w:id="162" w:name="xdx_300_112_pn3n3_z6PPnsruYMga"/>
      <w:bookmarkStart w:id="163" w:name="xdx_300_112_pn3n3_z6PPnsruYMga"/>
      <w:bookmarkEnd w:id="163"/>
    </w:p>
    <w:tbl>
      <w:tblPr>
        <w:tblW w:w="8907" w:type="dxa"/>
        <w:jc w:val="left"/>
        <w:tblInd w:w="0" w:type="dxa"/>
        <w:tblLayout w:type="fixed"/>
        <w:tblCellMar>
          <w:top w:w="0" w:type="dxa"/>
          <w:left w:w="0" w:type="dxa"/>
          <w:bottom w:w="0" w:type="dxa"/>
          <w:right w:w="0" w:type="dxa"/>
        </w:tblCellMar>
      </w:tblPr>
      <w:tblGrid>
        <w:gridCol w:w="6830"/>
        <w:gridCol w:w="60"/>
        <w:gridCol w:w="156"/>
        <w:gridCol w:w="711"/>
        <w:gridCol w:w="106"/>
        <w:gridCol w:w="67"/>
        <w:gridCol w:w="156"/>
        <w:gridCol w:w="711"/>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91_20260101__20260630_z7erI94jfSU9"/>
            <w:bookmarkEnd w:id="164"/>
          </w:p>
        </w:tc>
        <w:tc>
          <w:tcPr>
            <w:tcW w:w="8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165" w:name="xdx_496_20250101__20250630_z9ZysRxbou07"/>
            <w:bookmarkEnd w:id="165"/>
          </w:p>
        </w:tc>
        <w:tc>
          <w:tcPr>
            <w:tcW w:w="8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166" w:name="xdx_405_eus-gaap--NetCashProvidedByUsedI"/>
            <w:bookmarkEnd w:id="166"/>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7" w:name="xdx_40F_eus-gaap--NetIncomeLoss_i01_maNC"/>
            <w:bookmarkEnd w:id="167"/>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1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8" w:name="xdx_406_eus-gaap--AdjustmentsNoncashItem"/>
            <w:bookmarkEnd w:id="16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9" w:name="xdx_407_eus-gaap--AmortizationOfIntangib"/>
            <w:bookmarkEnd w:id="16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110" w:type="dxa"/>
            <w:tcBorders/>
            <w:shd w:fill="CCEEFF" w:val="clear"/>
            <w:vAlign w:val="center"/>
          </w:tcPr>
          <w:p>
            <w:pPr>
              <w:pStyle w:val="TableContents"/>
              <w:bidi w:val="0"/>
              <w:spacing w:before="0" w:after="283"/>
              <w:jc w:val="left"/>
              <w:rPr/>
            </w:pPr>
            <w:r>
              <w:rPr/>
              <w:t> </w:t>
            </w:r>
            <w:bookmarkStart w:id="170" w:name="xdx_404_ecustom--AmortizationOfVendorAdv"/>
            <w:bookmarkEnd w:id="17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vendor advances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w:t>
            </w:r>
          </w:p>
        </w:tc>
        <w:tc>
          <w:tcPr>
            <w:tcW w:w="110" w:type="dxa"/>
            <w:tcBorders/>
            <w:shd w:fill="FFFFFF" w:val="clear"/>
            <w:vAlign w:val="center"/>
          </w:tcPr>
          <w:p>
            <w:pPr>
              <w:pStyle w:val="TableContents"/>
              <w:bidi w:val="0"/>
              <w:spacing w:before="0" w:after="283"/>
              <w:jc w:val="left"/>
              <w:rPr/>
            </w:pPr>
            <w:r>
              <w:rPr/>
              <w:t> </w:t>
            </w:r>
            <w:bookmarkStart w:id="171" w:name="xdx_40C_ecustom--FairValueOfVestedRestri"/>
            <w:bookmarkEnd w:id="171"/>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110" w:type="dxa"/>
            <w:tcBorders/>
            <w:shd w:fill="CCEEFF" w:val="clear"/>
            <w:vAlign w:val="center"/>
          </w:tcPr>
          <w:p>
            <w:pPr>
              <w:pStyle w:val="TableContents"/>
              <w:bidi w:val="0"/>
              <w:spacing w:before="0" w:after="283"/>
              <w:jc w:val="left"/>
              <w:rPr/>
            </w:pPr>
            <w:r>
              <w:rPr/>
              <w:t> </w:t>
            </w:r>
            <w:bookmarkStart w:id="172" w:name="xdx_407_eus-gaap--IncreaseDecreaseInOper"/>
            <w:bookmarkEnd w:id="17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2_eus-gaap--IncreaseDecreaseInPrep"/>
            <w:bookmarkEnd w:id="17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 w:name="xdx_40B_eus-gaap--IncreaseDecreaseInOthe"/>
            <w:bookmarkEnd w:id="174"/>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 w:name="xdx_407_eus-gaap--NetCashProvidedByUsedI"/>
            <w:bookmarkEnd w:id="17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1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 w:name="xdx_403_ecustom--ProceedsFromAtMarketOff"/>
            <w:bookmarkEnd w:id="17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At the Market (ATM) offering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77" w:name="xdx_40D_eus-gaap--ProceedsFromIssuanceOf"/>
            <w:bookmarkEnd w:id="17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and exercise of prefunded warrants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10" w:type="dxa"/>
            <w:tcBorders/>
            <w:shd w:fill="CCEEFF" w:val="clear"/>
            <w:vAlign w:val="center"/>
          </w:tcPr>
          <w:p>
            <w:pPr>
              <w:pStyle w:val="TableContents"/>
              <w:bidi w:val="0"/>
              <w:spacing w:before="0" w:after="283"/>
              <w:jc w:val="left"/>
              <w:rPr/>
            </w:pPr>
            <w:r>
              <w:rPr/>
              <w:t> </w:t>
            </w:r>
            <w:bookmarkStart w:id="178" w:name="xdx_401_eus-gaap--ProceedsFromLinesOfCre"/>
            <w:bookmarkEnd w:id="17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equity line of credit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110" w:type="dxa"/>
            <w:tcBorders/>
            <w:shd w:fill="FFFFFF" w:val="clear"/>
            <w:vAlign w:val="center"/>
          </w:tcPr>
          <w:p>
            <w:pPr>
              <w:pStyle w:val="TableContents"/>
              <w:bidi w:val="0"/>
              <w:spacing w:before="0" w:after="283"/>
              <w:jc w:val="left"/>
              <w:rPr/>
            </w:pPr>
            <w:r>
              <w:rPr/>
              <w:t> </w:t>
            </w:r>
            <w:bookmarkStart w:id="179" w:name="xdx_407_eus-gaap--PaymentsOfFinancingCos"/>
            <w:bookmarkEnd w:id="17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1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80" w:name="xdx_40D_eus-gaap--NetCashProvidedByUsedI"/>
            <w:bookmarkEnd w:id="18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3,281</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1" w:name="xdx_40F_eus-gaap--CashCashEquivalentsRes"/>
            <w:bookmarkEnd w:id="181"/>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w:t>
            </w:r>
          </w:p>
        </w:tc>
        <w:tc>
          <w:tcPr>
            <w:tcW w:w="1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2" w:name="xdx_408_eus-gaap--CashCashEquivalentsRes"/>
            <w:bookmarkEnd w:id="18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10" w:type="dxa"/>
            <w:tcBorders/>
            <w:shd w:fill="FFFFFF" w:val="clear"/>
            <w:vAlign w:val="center"/>
          </w:tcPr>
          <w:p>
            <w:pPr>
              <w:pStyle w:val="TableContents"/>
              <w:bidi w:val="0"/>
              <w:spacing w:before="0" w:after="283"/>
              <w:jc w:val="left"/>
              <w:rPr/>
            </w:pPr>
            <w:r>
              <w:rPr/>
              <w:t> </w:t>
            </w:r>
            <w:bookmarkStart w:id="183" w:name="xdx_403_eus-gaap--CashCashEquivalentsRes"/>
            <w:bookmarkEnd w:id="18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4" w:name="xdx_405_eus-gaap--SupplementalCashFlowEl"/>
            <w:bookmarkEnd w:id="184"/>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cash flows disclosures: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5" w:name="xdx_406_eus-gaap--InterestPaidNet_i01_zc"/>
            <w:bookmarkEnd w:id="185"/>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86" w:name="xdx_401_eus-gaap--IncomeTaxesPaidNet_i01"/>
            <w:bookmarkEnd w:id="186"/>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7_eus-gaap--NoncashInvestingAndFin"/>
            <w:bookmarkEnd w:id="18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non-cash financing disclosures: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8" w:name="xdx_40C_ecustom--IssuanceOfCommonSharesF"/>
            <w:bookmarkEnd w:id="18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deferred offering costs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bookmarkStart w:id="189" w:name="xdx_405_ecustom--IssuanceOfCommonSharesF"/>
            <w:bookmarkEnd w:id="18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vendor advances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110" w:type="dxa"/>
            <w:tcBorders/>
            <w:shd w:fill="CCEEFF" w:val="clear"/>
            <w:vAlign w:val="center"/>
          </w:tcPr>
          <w:p>
            <w:pPr>
              <w:pStyle w:val="TableContents"/>
              <w:bidi w:val="0"/>
              <w:spacing w:before="0" w:after="283"/>
              <w:jc w:val="left"/>
              <w:rPr/>
            </w:pPr>
            <w:r>
              <w:rPr/>
              <w:t> </w:t>
            </w:r>
            <w:bookmarkStart w:id="190" w:name="xdx_404_ecustom--ReclassificationOfDefer"/>
            <w:bookmarkEnd w:id="19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deferred offering costs to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1" w:name="a_007"/>
      <w:bookmarkEnd w:id="191"/>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2" w:name="xdx_807_eus-gaap--BusinessDescriptionAnd"/>
      <w:bookmarkEnd w:id="192"/>
      <w:r>
        <w:rPr>
          <w:rFonts w:ascii="Times New Roman;Times;Serif" w:hAnsi="Times New Roman;Times;Serif"/>
          <w:b/>
          <w:i w:val="false"/>
          <w:caps w:val="false"/>
          <w:smallCaps w:val="false"/>
          <w:sz w:val="20"/>
        </w:rPr>
        <w:t xml:space="preserve">NOTE 1 – </w:t>
      </w:r>
      <w:bookmarkStart w:id="193" w:name="xdx_820_zQRdXltaaQDf"/>
      <w:bookmarkEnd w:id="193"/>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 and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(the “Company” or “Kairos”) was incorporated on June 17, 2013 under the laws of the state of California as NanoGB13, Inc. The Company changed its name to Kairos Pharma, Ltd. on July 15, 2016 and subsequently converted into a Delaware corporation under the same name, Kairos Pharma, Ltd., on May 10, 2023. The Company is an early-stage biotechnology company focused on the development of immunotherapy and cell therapy treatments for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of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of the Company have been prepared in accordance with accounting principles generally accepted in the United States for interim financial information and the instructions to Form 10-Q and Rule 10-01 of Regulation S-X. Accordingly, they do not include all of the information and footnotes required by generally accepted accounting principles for complete financial statements. In the opinion of management, all normal recurring adjustments considered necessary for a fair presentation have been included. Operating results for the six months ended June 30, 2026, are not necessarily indicative of the results that may be expected for the year ending December 31, 2026. The Balance Sheet information as of December 31, 2025 was derived from the audited financial statements included in the Company’s financial statements as of and for the years ended December 31, 2025 and 2024 contained in the Company’s Annual Report on Form 10-K filed with the Securities and Exchange Commission (the “SEC”) on March 31, 2026. These financial statements should be read in conjunction with that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settlement of liabilities and commitments in the normal course of business. As reflected in the accompanying unaudited condensed consolidated financial statements, the Company has experienced recurring losses from operations since inception and incurred a net loss of $</w:t>
      </w:r>
      <w:bookmarkStart w:id="194" w:name="xdx_906_eus-gaap--NetIncomeLoss_iN_pn3n3"/>
      <w:bookmarkEnd w:id="194"/>
      <w:r>
        <w:rPr>
          <w:rFonts w:ascii="Times New Roman;Times;Serif" w:hAnsi="Times New Roman;Times;Serif"/>
          <w:b w:val="false"/>
          <w:i w:val="false"/>
          <w:caps w:val="false"/>
          <w:smallCaps w:val="false"/>
          <w:sz w:val="20"/>
        </w:rPr>
        <w:t>3,042 and used cash in operations of $</w:t>
      </w:r>
      <w:bookmarkStart w:id="195" w:name="xdx_90C_eus-gaap--NetCashProvidedByUsedI"/>
      <w:bookmarkEnd w:id="195"/>
      <w:r>
        <w:rPr>
          <w:rFonts w:ascii="Times New Roman;Times;Serif" w:hAnsi="Times New Roman;Times;Serif"/>
          <w:b w:val="false"/>
          <w:i w:val="false"/>
          <w:caps w:val="false"/>
          <w:smallCaps w:val="false"/>
          <w:sz w:val="20"/>
        </w:rPr>
        <w:t>2,048 during the six months ended June 30, 2026. These factors raise substantial doubt about the Company’s ability to continue as a going concern. In addition, the Company’s independent registered public accounting firm, in its report on the Company’s December 31, 2025 financial statements, has expressed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short-term investments of $</w:t>
      </w:r>
      <w:bookmarkStart w:id="196" w:name="xdx_90D_eus-gaap--CashAndCashEquivalents"/>
      <w:bookmarkEnd w:id="196"/>
      <w:r>
        <w:rPr>
          <w:rFonts w:ascii="Times New Roman;Times;Serif" w:hAnsi="Times New Roman;Times;Serif"/>
          <w:b w:val="false"/>
          <w:i w:val="false"/>
          <w:caps w:val="false"/>
          <w:smallCaps w:val="false"/>
          <w:sz w:val="20"/>
        </w:rPr>
        <w:t>2,626. Until the Company can generate sufficient product revenue to finance our cash requirements, which it may never do, it expects to finance future cash needs through a combination of public or private equity offerings and debt financings, or other capital sources such as potential collaborations, strategic alliances, licensing arrangements and other arrangements. Based on its research and development plans, the Company expects that its existing cash balance may not be adequate to fully fund planned operating expenses and capital expenditure requirements for at least the next 12 months from the date of filing of this report. The Company based this estimate on assumptions that may prove to be wrong, and it could exhaust available capital resources sooner than expected. In addition, because the design and outcome of anticipated and any future clinical trials is highly uncertain, the Company cannot reasonably estimate the actual amounts necessary to successfully complete the development and commercialization of current products or any future product candidates. Additionally, although the Company has the ability to raise funds through its equity line of credit, which is registered on Form S-1 and filed in 2025, and its at-the-market offering, registered on Form S-3 and 2026, the Company may not receive some or all of these available proceeds due to certain factors outside of its control. The failure to receive all or some of the proceeds would result in the Company exhausting available capital resources sooner than expected and will require it to obtain further funding to achieve its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197" w:name="xdx_80C_eus-gaap--SignificantAccountingP"/>
      <w:bookmarkEnd w:id="197"/>
      <w:r>
        <w:rPr>
          <w:rFonts w:ascii="Times New Roman;Times;Serif" w:hAnsi="Times New Roman;Times;Serif"/>
          <w:b/>
          <w:i w:val="false"/>
          <w:caps w:val="false"/>
          <w:smallCaps w:val="false"/>
          <w:sz w:val="20"/>
          <w:shd w:fill="FFFFFF" w:val="clear"/>
        </w:rPr>
        <w:t xml:space="preserve">NOTE 2 - </w:t>
      </w:r>
      <w:bookmarkStart w:id="198" w:name="xdx_82A_zWxIEpoleLbe"/>
      <w:bookmarkEnd w:id="198"/>
      <w:r>
        <w:rPr>
          <w:rFonts w:ascii="Times New Roman;Times;Serif" w:hAnsi="Times New Roman;Times;Serif"/>
          <w:b/>
          <w:i w:val="false"/>
          <w:caps w:val="false"/>
          <w:smallCaps w:val="false"/>
          <w:sz w:val="20"/>
          <w:shd w:fill="FFFFFF" w:val="clear"/>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199" w:name="xdx_865_zEQBmiz2ffD1"/>
      <w:bookmarkStart w:id="200" w:name="xdx_84E_eus-gaap--ConsolidationPolicyTex"/>
      <w:bookmarkEnd w:id="199"/>
      <w:bookmarkEnd w:id="200"/>
      <w:r>
        <w:rPr>
          <w:rFonts w:ascii="Times New Roman;Times;Serif" w:hAnsi="Times New Roman;Times;Serif"/>
          <w:b/>
          <w:i w:val="false"/>
          <w:caps w:val="false"/>
          <w:smallCaps w:val="false"/>
          <w:sz w:val="20"/>
          <w:shd w:fill="FFFFFF" w:val="clear"/>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accompanying notes have been prepared in accordance with accounting principles generally accepted in the United States of America (“U.S. GAAP”). The accompanying consolidated financial statements include the accounts of the Company and its former wholly-owned subsidiary, Enviro Therapeutics, Inc. (“Enviro”) which was dissolved in October 2025.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6E_z1KkLf792kfb"/>
      <w:bookmarkStart w:id="202" w:name="xdx_84F_eus-gaap--UseOfEstimates_zM2u6D1"/>
      <w:bookmarkEnd w:id="201"/>
      <w:bookmarkEnd w:id="202"/>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U.S. requires management to make estimates and assumptions that affect the reported amounts of assets and liabilities, disclosure of contingent assets and liabilities at the financial statement date and reported amounts of revenue and expenses during the reporting period. Significant estimates are used in the valuation of accruals for potential liabilities, amortization of vendor advances and deferred offering costs, valuations of stock-based compensation, the realization of deferred tax assets, and impairment analysis and useful life for intangible assets among others.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3" w:name="xdx_86F_zEQf8rWg8VW5"/>
      <w:bookmarkStart w:id="204" w:name="xdx_84E_eus-gaap--ConcentrationRiskCredi"/>
      <w:bookmarkEnd w:id="203"/>
      <w:bookmarkEnd w:id="204"/>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 of credit risk, consist primarily of cash deposits.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5" w:name="xdx_86F_zG7geQ4nmu0c"/>
      <w:bookmarkStart w:id="206" w:name="xdx_84C_eus-gaap--CashAndCashEquivalents"/>
      <w:bookmarkEnd w:id="205"/>
      <w:bookmarkEnd w:id="206"/>
      <w:r>
        <w:rPr>
          <w:rFonts w:ascii="Times New Roman;Times;Serif" w:hAnsi="Times New Roman;Times;Serif"/>
          <w:b/>
          <w:i w:val="false"/>
          <w:caps w:val="false"/>
          <w:smallCaps w:val="false"/>
          <w:sz w:val="20"/>
        </w:rPr>
        <w:t>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three months or less on the date of purchase to be cash equivalents. The Company’s cash equivalents consisted of $</w:t>
      </w:r>
      <w:bookmarkStart w:id="207" w:name="xdx_90C_eus-gaap--MoneyMarketFundsAtCarr"/>
      <w:bookmarkEnd w:id="207"/>
      <w:r>
        <w:rPr>
          <w:rFonts w:ascii="Times New Roman;Times;Serif" w:hAnsi="Times New Roman;Times;Serif"/>
          <w:b w:val="false"/>
          <w:i w:val="false"/>
          <w:caps w:val="false"/>
          <w:smallCaps w:val="false"/>
          <w:sz w:val="20"/>
        </w:rPr>
        <w:t>2,441 and $</w:t>
      </w:r>
      <w:bookmarkStart w:id="208" w:name="xdx_904_eus-gaap--MoneyMarketFundsAtCarr"/>
      <w:bookmarkEnd w:id="208"/>
      <w:r>
        <w:rPr>
          <w:rFonts w:ascii="Times New Roman;Times;Serif" w:hAnsi="Times New Roman;Times;Serif"/>
          <w:b w:val="false"/>
          <w:i w:val="false"/>
          <w:caps w:val="false"/>
          <w:smallCaps w:val="false"/>
          <w:sz w:val="20"/>
        </w:rPr>
        <w:t>4,326 in money market funds as of June 30, 2026, and December 31, 2025, respectively. The underlying securities in the money market funds held by the Company are all government backed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 w:name="xdx_86A_zjVVoZASfUP9"/>
      <w:bookmarkStart w:id="210" w:name="xdx_849_eus-gaap--GoodwillAndIntangibleA"/>
      <w:bookmarkEnd w:id="209"/>
      <w:bookmarkEnd w:id="210"/>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intangible assets are stated at fair value as of the date acquired, less accumulated amortization. Amortization is calculated based on the estimated useful lives of the assets, which were determined to be </w:t>
      </w:r>
      <w:bookmarkStart w:id="211" w:name="xdx_90D_eus-gaap--FiniteLivedIntangibleA"/>
      <w:bookmarkEnd w:id="211"/>
      <w:r>
        <w:rPr>
          <w:rFonts w:ascii="Times New Roman;Times;Serif" w:hAnsi="Times New Roman;Times;Serif"/>
          <w:b w:val="false"/>
          <w:i w:val="false"/>
          <w:caps w:val="false"/>
          <w:smallCaps w:val="false"/>
          <w:sz w:val="20"/>
        </w:rPr>
        <w:t>five years, using the straight-line method. The intangible asset consists of a licensing agreement that the Company acquired through its acquisition of Enviro during the year ended December 31, 2021, with an acquisition cost of $</w:t>
      </w:r>
      <w:bookmarkStart w:id="212" w:name="xdx_906_eus-gaap--BusinessAcquisitionCos"/>
      <w:bookmarkEnd w:id="212"/>
      <w:r>
        <w:rPr>
          <w:rFonts w:ascii="Times New Roman;Times;Serif" w:hAnsi="Times New Roman;Times;Serif"/>
          <w:b w:val="false"/>
          <w:i w:val="false"/>
          <w:caps w:val="false"/>
          <w:smallCaps w:val="false"/>
          <w:sz w:val="20"/>
        </w:rPr>
        <w:t>800. Amortization expense relating to the intangible asset during each of the six months ended June 30, 2026 and 2025 was $</w:t>
      </w:r>
      <w:bookmarkStart w:id="213" w:name="xdx_902_eus-gaap--AmortizationOfIntangib"/>
      <w:bookmarkEnd w:id="213"/>
      <w:r>
        <w:rPr>
          <w:rFonts w:ascii="Times New Roman;Times;Serif" w:hAnsi="Times New Roman;Times;Serif"/>
          <w:b w:val="false"/>
          <w:i w:val="false"/>
          <w:caps w:val="false"/>
          <w:smallCaps w:val="false"/>
          <w:sz w:val="20"/>
        </w:rPr>
        <w:t>62 and $</w:t>
      </w:r>
      <w:bookmarkStart w:id="214" w:name="xdx_908_eus-gaap--AmortizationOfIntangib"/>
      <w:bookmarkEnd w:id="214"/>
      <w:r>
        <w:rPr>
          <w:rFonts w:ascii="Times New Roman;Times;Serif" w:hAnsi="Times New Roman;Times;Serif"/>
          <w:b w:val="false"/>
          <w:i w:val="false"/>
          <w:caps w:val="false"/>
          <w:smallCaps w:val="false"/>
          <w:sz w:val="20"/>
        </w:rPr>
        <w:t>80, respectively, with an unamortized balance of $</w:t>
      </w:r>
      <w:bookmarkStart w:id="215" w:name="xdx_90B_eus-gaap--IntangibleAssetsNetExc"/>
      <w:bookmarkEnd w:id="215"/>
      <w:r>
        <w:rPr>
          <w:rFonts w:ascii="Times New Roman;Times;Serif" w:hAnsi="Times New Roman;Times;Serif"/>
          <w:b w:val="false"/>
          <w:i w:val="false"/>
          <w:caps w:val="false"/>
          <w:smallCaps w:val="false"/>
          <w:sz w:val="20"/>
        </w:rPr>
        <w:t xml:space="preserve">62 at December 31, 2025. There was </w:t>
      </w:r>
      <w:bookmarkStart w:id="216" w:name="xdx_907_eus-gaap--IntangibleAssetsNetExc"/>
      <w:bookmarkEnd w:id="216"/>
      <w:r>
        <w:rPr>
          <w:rFonts w:ascii="Times New Roman;Times;Serif" w:hAnsi="Times New Roman;Times;Serif"/>
          <w:b w:val="false"/>
          <w:i w:val="false"/>
          <w:caps w:val="false"/>
          <w:smallCaps w:val="false"/>
          <w:sz w:val="20"/>
        </w:rPr>
        <w:t>no unamortized balance at June 30,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7" w:name="xdx_863_z6HPQCwNIytb"/>
      <w:bookmarkStart w:id="218" w:name="xdx_84A_eus-gaap--EarningsPerSharePolicy"/>
      <w:bookmarkEnd w:id="217"/>
      <w:bookmarkEnd w:id="218"/>
      <w:r>
        <w:rPr>
          <w:rFonts w:ascii="Times New Roman;Times;Serif" w:hAnsi="Times New Roman;Times;Serif"/>
          <w:b/>
          <w:i w:val="false"/>
          <w:caps w:val="false"/>
          <w:smallCaps w:val="false"/>
          <w:sz w:val="20"/>
        </w:rPr>
        <w:t>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applicable to common stockholders by the weighted average number of outstanding common shares during the period. Shares of restricted stock are included in the basic weighted average number of common shares outstanding from the time they vest.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9" w:name="xdx_89F_eus-gaap--ScheduleOfAntidilutive"/>
      <w:bookmarkEnd w:id="219"/>
      <w:r>
        <w:rPr>
          <w:rFonts w:ascii="Times New Roman;Times;Serif" w:hAnsi="Times New Roman;Times;Serif"/>
          <w:b w:val="false"/>
          <w:i w:val="false"/>
          <w:caps w:val="false"/>
          <w:smallCaps w:val="false"/>
          <w:sz w:val="20"/>
        </w:rPr>
        <w:t>For the six months ended June 30, 2026 and 2025, the basic and diluted shares outstanding were the same, as potentially dilutive shares were considered anti-dilutive. The potentially dilutive securities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 w:name="xdx_8B2_zuwopSRiQG86"/>
      <w:bookmarkEnd w:id="220"/>
      <w:r>
        <w:rPr>
          <w:rFonts w:ascii="Times New Roman;Times;Serif" w:hAnsi="Times New Roman;Times;Serif"/>
          <w:b w:val="false"/>
          <w:i w:val="false"/>
          <w:caps w:val="false"/>
          <w:smallCaps w:val="false"/>
          <w:sz w:val="20"/>
        </w:rPr>
        <w:t>SCHEDULE OF POTENTIALLY DILUTIVE SECURITIES </w:t>
      </w:r>
    </w:p>
    <w:tbl>
      <w:tblPr>
        <w:tblW w:w="6553" w:type="dxa"/>
        <w:jc w:val="left"/>
        <w:tblInd w:w="0" w:type="dxa"/>
        <w:tblLayout w:type="fixed"/>
        <w:tblCellMar>
          <w:top w:w="0" w:type="dxa"/>
          <w:left w:w="0" w:type="dxa"/>
          <w:bottom w:w="0" w:type="dxa"/>
          <w:right w:w="0" w:type="dxa"/>
        </w:tblCellMar>
      </w:tblPr>
      <w:tblGrid>
        <w:gridCol w:w="3470"/>
        <w:gridCol w:w="60"/>
        <w:gridCol w:w="81"/>
        <w:gridCol w:w="1333"/>
        <w:gridCol w:w="60"/>
        <w:gridCol w:w="60"/>
        <w:gridCol w:w="81"/>
        <w:gridCol w:w="1333"/>
        <w:gridCol w:w="75"/>
      </w:tblGrid>
      <w:tr>
        <w:trPr/>
        <w:tc>
          <w:tcPr>
            <w:tcW w:w="3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1" w:name="xdx_499_20260101__20260630_z6pnb76aVpg3"/>
            <w:bookmarkEnd w:id="221"/>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98_20250101__20250630_zg6nSvR4yhx6"/>
            <w:bookmarkEnd w:id="222"/>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vAlign w:val="center"/>
          </w:tcPr>
          <w:p>
            <w:pPr>
              <w:pStyle w:val="TableContents"/>
              <w:bidi w:val="0"/>
              <w:spacing w:before="0" w:after="283"/>
              <w:jc w:val="left"/>
              <w:rPr/>
            </w:pPr>
            <w:r>
              <w:rPr/>
              <w:t> </w:t>
            </w:r>
            <w:bookmarkStart w:id="223" w:name="xdx_40B_eus-gaap--AntidilutiveSecurities"/>
            <w:bookmarkEnd w:id="223"/>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4,088,888</w:t>
            </w:r>
          </w:p>
        </w:tc>
        <w:tc>
          <w:tcPr>
            <w:tcW w:w="75" w:type="dxa"/>
            <w:tcBorders/>
            <w:shd w:fill="CCEEFF" w:val="clear"/>
            <w:vAlign w:val="center"/>
          </w:tcPr>
          <w:p>
            <w:pPr>
              <w:pStyle w:val="TableContents"/>
              <w:bidi w:val="0"/>
              <w:spacing w:before="0" w:after="283"/>
              <w:jc w:val="left"/>
              <w:rPr/>
            </w:pPr>
            <w:r>
              <w:rPr/>
              <w:t> </w:t>
            </w:r>
            <w:bookmarkStart w:id="224" w:name="xdx_40F_eus-gaap--AntidilutiveSecurities"/>
            <w:bookmarkEnd w:id="224"/>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113,599</w:t>
            </w:r>
          </w:p>
        </w:tc>
        <w:tc>
          <w:tcPr>
            <w:tcW w:w="75" w:type="dxa"/>
            <w:tcBorders/>
            <w:shd w:fill="FFFFFF" w:val="clear"/>
            <w:vAlign w:val="center"/>
          </w:tcPr>
          <w:p>
            <w:pPr>
              <w:pStyle w:val="TableContents"/>
              <w:bidi w:val="0"/>
              <w:spacing w:before="0" w:after="283"/>
              <w:jc w:val="left"/>
              <w:rPr/>
            </w:pPr>
            <w:r>
              <w:rPr/>
              <w:t> </w:t>
            </w:r>
            <w:bookmarkStart w:id="225" w:name="xdx_40C_eus-gaap--AntidilutiveSecurities"/>
            <w:bookmarkEnd w:id="225"/>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4,202,487</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226" w:name="xdx_8A9_z17pyTuxsIE4"/>
      <w:bookmarkEnd w:id="22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27" w:name="xdx_864_zFnH7tn2cBb7"/>
      <w:bookmarkStart w:id="228" w:name="xdx_842_eus-gaap--DeferredChargesPolicyT"/>
      <w:bookmarkEnd w:id="227"/>
      <w:bookmarkEnd w:id="228"/>
      <w:r>
        <w:rPr>
          <w:rFonts w:ascii="Times New Roman;Times;Serif" w:hAnsi="Times New Roman;Times;Serif"/>
          <w:b/>
          <w:i w:val="false"/>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delayed or abandoned, the deferred offering costs will be expensed immediately as a charge to operating expenses in the Company’s statement of operations. As of December 31, 2025, the net balance of the of deferred offering costs relating to the Company’s equity line of credit (“ELOC”) offering was $</w:t>
      </w:r>
      <w:bookmarkStart w:id="229" w:name="xdx_905_ecustom--DeferredOfferingAdditio"/>
      <w:bookmarkEnd w:id="229"/>
      <w:r>
        <w:rPr>
          <w:rFonts w:ascii="Times New Roman;Times;Serif" w:hAnsi="Times New Roman;Times;Serif"/>
          <w:b w:val="false"/>
          <w:i w:val="false"/>
          <w:caps w:val="false"/>
          <w:smallCaps w:val="false"/>
          <w:sz w:val="20"/>
        </w:rPr>
        <w:t>1,091. During the six months ended June 30, 2026, no additional offering costs were incurred and no cost of capital was amortized relating to the ELOC, leaving a net balance of $</w:t>
      </w:r>
      <w:bookmarkStart w:id="230" w:name="xdx_907_ecustom--DeferredOfferingAdditio"/>
      <w:bookmarkEnd w:id="230"/>
      <w:r>
        <w:rPr>
          <w:rFonts w:ascii="Times New Roman;Times;Serif" w:hAnsi="Times New Roman;Times;Serif"/>
          <w:b w:val="false"/>
          <w:i w:val="false"/>
          <w:caps w:val="false"/>
          <w:smallCaps w:val="false"/>
          <w:sz w:val="20"/>
        </w:rPr>
        <w:t>1,091 at June 30, 2026, which will be applied against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t>
      </w:r>
      <w:bookmarkStart w:id="231" w:name="xdx_90E_eus-gaap--DeferredOfferingCosts_"/>
      <w:bookmarkEnd w:id="231"/>
      <w:r>
        <w:rPr>
          <w:rFonts w:ascii="Times New Roman;Times;Serif" w:hAnsi="Times New Roman;Times;Serif"/>
          <w:b w:val="false"/>
          <w:i w:val="false"/>
          <w:caps w:val="false"/>
          <w:smallCaps w:val="false"/>
          <w:sz w:val="20"/>
        </w:rPr>
        <w:t>209 of deferred offering costs were incurred relating to the Company’s At the Market (“ATM”) offering (see Notes 4 and 5) and $</w:t>
      </w:r>
      <w:bookmarkStart w:id="232" w:name="xdx_904_eus-gaap--ServicingAssetAtAmorti"/>
      <w:bookmarkEnd w:id="232"/>
      <w:r>
        <w:rPr>
          <w:rFonts w:ascii="Times New Roman;Times;Serif" w:hAnsi="Times New Roman;Times;Serif"/>
          <w:b w:val="false"/>
          <w:i w:val="false"/>
          <w:caps w:val="false"/>
          <w:smallCaps w:val="false"/>
          <w:sz w:val="20"/>
        </w:rPr>
        <w:t>18 was amortized as cost of capital relating to that offering, leaving a net balance of $</w:t>
      </w:r>
      <w:bookmarkStart w:id="233" w:name="xdx_90A_eus-gaap--FiniteLivedIntangibleA"/>
      <w:bookmarkEnd w:id="233"/>
      <w:r>
        <w:rPr>
          <w:rFonts w:ascii="Times New Roman;Times;Serif" w:hAnsi="Times New Roman;Times;Serif"/>
          <w:b w:val="false"/>
          <w:i w:val="false"/>
          <w:caps w:val="false"/>
          <w:smallCaps w:val="false"/>
          <w:sz w:val="20"/>
        </w:rPr>
        <w:t>191 at June 30, 2026, which will be applied against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deferred offering costs were $</w:t>
      </w:r>
      <w:bookmarkStart w:id="234" w:name="xdx_90D_eus-gaap--DeferredCosts_iI_pn3n3"/>
      <w:bookmarkEnd w:id="234"/>
      <w:r>
        <w:rPr>
          <w:rFonts w:ascii="Times New Roman;Times;Serif" w:hAnsi="Times New Roman;Times;Serif"/>
          <w:b w:val="false"/>
          <w:i w:val="false"/>
          <w:caps w:val="false"/>
          <w:smallCaps w:val="false"/>
          <w:sz w:val="20"/>
        </w:rPr>
        <w:t>1,282 at June 30, 2026 relating to the ELOC and the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5" w:name="xdx_86B_zfQ7KgLzi6A4"/>
      <w:bookmarkStart w:id="236" w:name="xdx_848_eus-gaap--FairValueMeasurementPo"/>
      <w:bookmarkEnd w:id="235"/>
      <w:bookmarkEnd w:id="236"/>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assets and liabilities based on the exchange price in U.S. dollars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uses a fair value hierarchy with three levels of inputs, of which the first two are considered observable and the last unobservable, to measure fair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 —</w:t>
            </w:r>
            <w:r>
              <w:rPr>
                <w:rFonts w:ascii="Times New Roman;Times;Serif" w:hAnsi="Times New Roman;Times;Serif"/>
                <w:b w:val="false"/>
                <w:i w:val="false"/>
                <w:caps w:val="false"/>
                <w:smallCaps w:val="false"/>
                <w:sz w:val="20"/>
              </w:rPr>
              <w:t xml:space="preserve"> Quoted prices in active markets for identical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 —</w:t>
            </w:r>
            <w:r>
              <w:rPr>
                <w:rFonts w:ascii="Times New Roman;Times;Serif" w:hAnsi="Times New Roman;Times;Serif"/>
                <w:b w:val="false"/>
                <w:i w:val="false"/>
                <w:caps w:val="false"/>
                <w:smallCaps w:val="false"/>
                <w:sz w:val="20"/>
              </w:rPr>
              <w:t xml:space="preserv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 —</w:t>
            </w:r>
            <w:r>
              <w:rPr>
                <w:rFonts w:ascii="Times New Roman;Times;Serif" w:hAnsi="Times New Roman;Times;Serif"/>
                <w:b w:val="false"/>
                <w:i w:val="false"/>
                <w:caps w:val="false"/>
                <w:smallCaps w:val="false"/>
                <w:sz w:val="20"/>
              </w:rPr>
              <w:t xml:space="preserve"> Unobservable inputs that are supported by little or no market activity and that are significant to the fair value of the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such as cash, and accounts payable and accrued liabilities, approximate the related fair values due to the short-term maturities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consisted of money market funds at June 30, 2026 and December 31, 2025. Money market funds were valued by the Company using quoted prices in active markets for identical securities, which represent a Level 1 measurement within the fair value hierarchy.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65_zmI33xovLPai"/>
      <w:bookmarkStart w:id="238" w:name="xdx_845_eus-gaap--NewAccountingPronounce"/>
      <w:bookmarkEnd w:id="237"/>
      <w:bookmarkEnd w:id="238"/>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pStyle w:val="TextBody"/>
        <w:bidi w:val="0"/>
        <w:spacing w:before="0" w:after="0"/>
        <w:ind w:left="0" w:right="0" w:hanging="0"/>
        <w:jc w:val="both"/>
        <w:rPr>
          <w:caps w:val="false"/>
          <w:smallCaps w:val="false"/>
        </w:rPr>
      </w:pPr>
      <w:bookmarkStart w:id="239" w:name="xdx_85F_zJU9HAdyexU2"/>
      <w:bookmarkEnd w:id="239"/>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40" w:name="xdx_801_ecustom--DisclosureOfVendorAgree"/>
      <w:bookmarkEnd w:id="240"/>
      <w:r>
        <w:rPr>
          <w:rFonts w:ascii="Times New Roman;Times;Serif" w:hAnsi="Times New Roman;Times;Serif"/>
          <w:b/>
          <w:i w:val="false"/>
          <w:caps w:val="false"/>
          <w:smallCaps w:val="false"/>
          <w:sz w:val="20"/>
        </w:rPr>
        <w:t xml:space="preserve">NOTE 3 – </w:t>
      </w:r>
      <w:bookmarkStart w:id="241" w:name="xdx_825_zde5UjxRSmi3"/>
      <w:bookmarkEnd w:id="241"/>
      <w:r>
        <w:rPr>
          <w:rFonts w:ascii="Times New Roman;Times;Serif" w:hAnsi="Times New Roman;Times;Serif"/>
          <w:b/>
          <w:i w:val="false"/>
          <w:caps w:val="false"/>
          <w:smallCaps w:val="false"/>
          <w:sz w:val="20"/>
        </w:rPr>
        <w:t>VENDOR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Vendor Advances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contracts with service providers pursuant to which the Company pays the vendor an advance at the beginning of the contractual period. These vendor advances could be paid by the Company either in cash or in shares of common stock, depending on the terms of the contract. The advances are reduced by the accumulated value of the services performed by the vendor or are amortized on a straight-line basis over the service period, whichever is shorter.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advances to vendors totaled $</w:t>
      </w:r>
      <w:bookmarkStart w:id="242" w:name="xdx_902_ecustom--VendorAdvancesCurrent_i"/>
      <w:bookmarkEnd w:id="242"/>
      <w:r>
        <w:rPr>
          <w:rFonts w:ascii="Times New Roman;Times;Serif" w:hAnsi="Times New Roman;Times;Serif"/>
          <w:b w:val="false"/>
          <w:i w:val="false"/>
          <w:caps w:val="false"/>
          <w:smallCaps w:val="false"/>
          <w:sz w:val="20"/>
        </w:rPr>
        <w:t>845. Amortization expense relating to the vendor advances during the six months ended June 30, 2026 was $</w:t>
      </w:r>
      <w:bookmarkStart w:id="243" w:name="xdx_907_ecustom--AmortizationExpenseVend"/>
      <w:bookmarkEnd w:id="243"/>
      <w:r>
        <w:rPr>
          <w:rFonts w:ascii="Times New Roman;Times;Serif" w:hAnsi="Times New Roman;Times;Serif"/>
          <w:b w:val="false"/>
          <w:i w:val="false"/>
          <w:caps w:val="false"/>
          <w:smallCaps w:val="false"/>
          <w:sz w:val="20"/>
        </w:rPr>
        <w:t>433, with an unamortized balance of $</w:t>
      </w:r>
      <w:bookmarkStart w:id="244" w:name="xdx_905_ecustom--VendorAdvancesCurrent_i"/>
      <w:bookmarkEnd w:id="244"/>
      <w:r>
        <w:rPr>
          <w:rFonts w:ascii="Times New Roman;Times;Serif" w:hAnsi="Times New Roman;Times;Serif"/>
          <w:b w:val="false"/>
          <w:i w:val="false"/>
          <w:caps w:val="false"/>
          <w:smallCaps w:val="false"/>
          <w:sz w:val="20"/>
        </w:rPr>
        <w:t>412 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45" w:name="xdx_894_ecustom--ScheduleOfVendorAdvance"/>
      <w:bookmarkEnd w:id="245"/>
      <w:r>
        <w:rPr>
          <w:rFonts w:ascii="Times New Roman;Times;Serif" w:hAnsi="Times New Roman;Times;Serif"/>
          <w:b w:val="false"/>
          <w:i w:val="false"/>
          <w:caps w:val="false"/>
          <w:smallCaps w:val="false"/>
          <w:sz w:val="20"/>
        </w:rPr>
        <w:t>Vendor advances consisted of the following at June 30, 2026 and December 31, 2025:</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46" w:name="xdx_8BE_zIE7BVApSW6c"/>
      <w:bookmarkEnd w:id="246"/>
      <w:r>
        <w:rPr>
          <w:rFonts w:ascii="Times New Roman;Times;Serif" w:hAnsi="Times New Roman;Times;Serif"/>
          <w:b w:val="false"/>
          <w:i w:val="false"/>
          <w:caps w:val="false"/>
          <w:smallCaps w:val="false"/>
          <w:sz w:val="20"/>
        </w:rPr>
        <w:t>SCHEDULE OF VENDOR ADVANCES </w:t>
      </w:r>
    </w:p>
    <w:tbl>
      <w:tblPr>
        <w:tblW w:w="6699" w:type="dxa"/>
        <w:jc w:val="left"/>
        <w:tblInd w:w="0" w:type="dxa"/>
        <w:tblLayout w:type="fixed"/>
        <w:tblCellMar>
          <w:top w:w="0" w:type="dxa"/>
          <w:left w:w="0" w:type="dxa"/>
          <w:bottom w:w="0" w:type="dxa"/>
          <w:right w:w="0" w:type="dxa"/>
        </w:tblCellMar>
      </w:tblPr>
      <w:tblGrid>
        <w:gridCol w:w="3005"/>
        <w:gridCol w:w="60"/>
        <w:gridCol w:w="255"/>
        <w:gridCol w:w="1159"/>
        <w:gridCol w:w="95"/>
        <w:gridCol w:w="60"/>
        <w:gridCol w:w="391"/>
        <w:gridCol w:w="1564"/>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47" w:name="xdx_495_20260630_zKsZLkBaO7xf"/>
            <w:bookmarkEnd w:id="247"/>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8" w:name="xdx_494_20251231_zGufqRCzzg5j"/>
            <w:bookmarkEnd w:id="248"/>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249" w:name="xdx_40F_ecustom--VendorAdvancesGross_iI_"/>
            <w:bookmarkEnd w:id="249"/>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Prevail Infoworks </w:t>
            </w:r>
            <w:bookmarkStart w:id="250" w:name="xdx_F42_zhMWK6ZR2omk"/>
            <w:bookmarkEnd w:id="250"/>
            <w:r>
              <w:rPr>
                <w:rFonts w:ascii="Times New Roman;Times;Serif" w:hAnsi="Times New Roman;Times;Serif"/>
              </w:rPr>
              <w:t>(a)</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10" w:type="dxa"/>
            <w:tcBorders/>
            <w:shd w:fill="CCEEFF" w:val="clear"/>
            <w:vAlign w:val="center"/>
          </w:tcPr>
          <w:p>
            <w:pPr>
              <w:pStyle w:val="TableContents"/>
              <w:bidi w:val="0"/>
              <w:spacing w:before="0" w:after="283"/>
              <w:jc w:val="left"/>
              <w:rPr/>
            </w:pPr>
            <w:r>
              <w:rPr/>
              <w:t> </w:t>
            </w:r>
            <w:bookmarkStart w:id="251" w:name="xdx_402_ecustom--VendorAdvancesGross_iI_"/>
            <w:bookmarkEnd w:id="251"/>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Cross Current Capital </w:t>
            </w:r>
            <w:bookmarkStart w:id="252" w:name="xdx_F44_zML9WUdHAv4d"/>
            <w:bookmarkEnd w:id="252"/>
            <w:r>
              <w:rPr>
                <w:rFonts w:ascii="Times New Roman;Times;Serif" w:hAnsi="Times New Roman;Times;Serif"/>
              </w:rPr>
              <w:t>(b)</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110" w:type="dxa"/>
            <w:tcBorders/>
            <w:shd w:fill="FFFFFF" w:val="clear"/>
            <w:vAlign w:val="center"/>
          </w:tcPr>
          <w:p>
            <w:pPr>
              <w:pStyle w:val="TableContents"/>
              <w:bidi w:val="0"/>
              <w:spacing w:before="0" w:after="283"/>
              <w:jc w:val="left"/>
              <w:rPr/>
            </w:pPr>
            <w:r>
              <w:rPr/>
              <w:t> </w:t>
            </w:r>
            <w:bookmarkStart w:id="253" w:name="xdx_40F_ecustom--VendorAdvancesGross_iI_"/>
            <w:bookmarkEnd w:id="25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advances, gross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w:t>
            </w:r>
          </w:p>
        </w:tc>
        <w:tc>
          <w:tcPr>
            <w:tcW w:w="110" w:type="dxa"/>
            <w:tcBorders/>
            <w:shd w:fill="CCEEFF" w:val="clear"/>
            <w:vAlign w:val="center"/>
          </w:tcPr>
          <w:p>
            <w:pPr>
              <w:pStyle w:val="TableContents"/>
              <w:bidi w:val="0"/>
              <w:spacing w:before="0" w:after="283"/>
              <w:jc w:val="left"/>
              <w:rPr/>
            </w:pPr>
            <w:r>
              <w:rPr/>
              <w:t> </w:t>
            </w:r>
            <w:bookmarkStart w:id="254" w:name="xdx_40E_ecustom--VendorAdvancesAccumulat"/>
            <w:bookmarkEnd w:id="254"/>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5" w:name="xdx_404_ecustom--VendorAdvancesNet_iTI_p"/>
            <w:bookmarkEnd w:id="255"/>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Vendor advances, net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unamortized balance of $</w:t>
      </w:r>
      <w:bookmarkStart w:id="256" w:name="xdx_902_ecustom--VendorAdvancesCurrent_i"/>
      <w:bookmarkEnd w:id="256"/>
      <w:r>
        <w:rPr>
          <w:rFonts w:ascii="Times New Roman;Times;Serif" w:hAnsi="Times New Roman;Times;Serif"/>
          <w:b w:val="false"/>
          <w:i w:val="false"/>
          <w:caps w:val="false"/>
          <w:smallCaps w:val="false"/>
          <w:sz w:val="20"/>
        </w:rPr>
        <w:t>412 as of June 30, 2026, will be fully amortized during the year ending December 31, 2026.</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2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bookmarkStart w:id="257" w:name="xdx_F05_ztsCLmGfSnO"/>
            <w:bookmarkEnd w:id="257"/>
            <w:r>
              <w:rPr>
                <w:rFonts w:ascii="Times New Roman;Times;Serif" w:hAnsi="Times New Roman;Times;Serif"/>
                <w:b/>
                <w:i/>
                <w:caps w:val="false"/>
                <w:smallCaps w:val="false"/>
                <w:sz w:val="20"/>
                <w:u w:val="single"/>
              </w:rPr>
              <w:t>(a)</w:t>
            </w:r>
          </w:p>
        </w:tc>
        <w:tc>
          <w:tcPr>
            <w:tcW w:w="387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bookmarkStart w:id="258" w:name="xdx_F1A_zN2DCU2dXVEk"/>
            <w:bookmarkEnd w:id="258"/>
            <w:r>
              <w:rPr>
                <w:rFonts w:ascii="Times New Roman;Times;Serif" w:hAnsi="Times New Roman;Times;Serif"/>
                <w:b/>
                <w:i/>
                <w:caps w:val="false"/>
                <w:smallCaps w:val="false"/>
                <w:sz w:val="20"/>
                <w:u w:val="single"/>
              </w:rPr>
              <w:t>Kairos Agreement with Prevail Infoworks,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Company entered into a master service and technology agreement with Prevail Infoworks, Inc. (“Prevail”), pursuant to which Prevail agreed to provide certain clinical research services to the Company. As part of the agreement, the Company was required to make an advance payment of $</w:t>
      </w:r>
      <w:bookmarkStart w:id="259" w:name="xdx_90F_eus-gaap--PaymentsForAdvanceToAf"/>
      <w:bookmarkEnd w:id="259"/>
      <w:r>
        <w:rPr>
          <w:rFonts w:ascii="Times New Roman;Times;Serif" w:hAnsi="Times New Roman;Times;Serif"/>
          <w:b w:val="false"/>
          <w:i w:val="false"/>
          <w:caps w:val="false"/>
          <w:smallCaps w:val="false"/>
          <w:sz w:val="20"/>
        </w:rPr>
        <w:t>900 to Prevail before commencement of services and, at such time as we notify Prevail to engage their services related to the relevant clinical trial, or six months from the date of the agreement, pay approximately $</w:t>
      </w:r>
      <w:bookmarkStart w:id="260" w:name="xdx_908_ecustom--MonthlyPayment_pn3n3_c2"/>
      <w:bookmarkEnd w:id="260"/>
      <w:r>
        <w:rPr>
          <w:rFonts w:ascii="Times New Roman;Times;Serif" w:hAnsi="Times New Roman;Times;Serif"/>
          <w:b w:val="false"/>
          <w:i w:val="false"/>
          <w:caps w:val="false"/>
          <w:smallCaps w:val="false"/>
          <w:sz w:val="20"/>
        </w:rPr>
        <w:t>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w:t>
      </w:r>
      <w:bookmarkStart w:id="261" w:name="xdx_906_eus-gaap--PaymentsForAdvanceToAf"/>
      <w:bookmarkEnd w:id="261"/>
      <w:r>
        <w:rPr>
          <w:rFonts w:ascii="Times New Roman;Times;Serif" w:hAnsi="Times New Roman;Times;Serif"/>
          <w:b w:val="false"/>
          <w:i w:val="false"/>
          <w:caps w:val="false"/>
          <w:smallCaps w:val="false"/>
          <w:sz w:val="20"/>
        </w:rPr>
        <w:t>900 advance payment to Prevail in October 2024 and it is included in vendor advances on the accompanying Balance Sheets as of June 30, 2026, and December 31, 2025. The unamortized balance of the advance was $</w:t>
      </w:r>
      <w:bookmarkStart w:id="262" w:name="xdx_909_eus-gaap--DebtInstrumentUnamorti"/>
      <w:bookmarkEnd w:id="262"/>
      <w:r>
        <w:rPr>
          <w:rFonts w:ascii="Times New Roman;Times;Serif" w:hAnsi="Times New Roman;Times;Serif"/>
          <w:b w:val="false"/>
          <w:i w:val="false"/>
          <w:caps w:val="false"/>
          <w:smallCaps w:val="false"/>
          <w:sz w:val="20"/>
        </w:rPr>
        <w:t>300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245"/>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bookmarkStart w:id="263" w:name="xdx_F03_zV1zS2LXjFjb"/>
            <w:bookmarkEnd w:id="263"/>
            <w:r>
              <w:rPr>
                <w:rFonts w:ascii="Times New Roman;Times;Serif" w:hAnsi="Times New Roman;Times;Serif"/>
                <w:b/>
                <w:i/>
                <w:caps w:val="false"/>
                <w:smallCaps w:val="false"/>
                <w:sz w:val="20"/>
                <w:u w:val="single"/>
              </w:rPr>
              <w:t>(b)</w:t>
            </w:r>
          </w:p>
        </w:tc>
        <w:tc>
          <w:tcPr>
            <w:tcW w:w="42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bookmarkStart w:id="264" w:name="xdx_F11_z00sdxD0k7S2"/>
            <w:bookmarkEnd w:id="264"/>
            <w:r>
              <w:rPr>
                <w:rFonts w:ascii="Times New Roman;Times;Serif" w:hAnsi="Times New Roman;Times;Serif"/>
                <w:b/>
                <w:i/>
                <w:caps w:val="false"/>
                <w:smallCaps w:val="false"/>
                <w:sz w:val="20"/>
                <w:u w:val="single"/>
              </w:rPr>
              <w:t>Kairos Agreement with Cross Current Capital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w:t>
      </w:r>
      <w:bookmarkStart w:id="265" w:name="xdx_90D_eus-gaap--StockIssuedDuringPerio"/>
      <w:bookmarkEnd w:id="265"/>
      <w:r>
        <w:rPr>
          <w:rFonts w:ascii="Times New Roman;Times;Serif" w:hAnsi="Times New Roman;Times;Serif"/>
          <w:b w:val="false"/>
          <w:i w:val="false"/>
          <w:caps w:val="false"/>
          <w:smallCaps w:val="false"/>
          <w:sz w:val="20"/>
        </w:rPr>
        <w:t>200 in cash and agreed to issue to the Advisor $</w:t>
      </w:r>
      <w:bookmarkStart w:id="266" w:name="xdx_90D_eus-gaap--StockIssuedDuringPerio"/>
      <w:bookmarkEnd w:id="266"/>
      <w:r>
        <w:rPr>
          <w:rFonts w:ascii="Times New Roman;Times;Serif" w:hAnsi="Times New Roman;Times;Serif"/>
          <w:b w:val="false"/>
          <w:i w:val="false"/>
          <w:caps w:val="false"/>
          <w:smallCaps w:val="false"/>
          <w:sz w:val="20"/>
        </w:rPr>
        <w:t>500 of restricted shares of the Company’s common stock under the Company’s 2023 Plan. The payment of $</w:t>
      </w:r>
      <w:bookmarkStart w:id="267" w:name="xdx_90A_ecustom--VendorPaymentAdvances_i"/>
      <w:bookmarkEnd w:id="267"/>
      <w:r>
        <w:rPr>
          <w:rFonts w:ascii="Times New Roman;Times;Serif" w:hAnsi="Times New Roman;Times;Serif"/>
          <w:b w:val="false"/>
          <w:i w:val="false"/>
          <w:caps w:val="false"/>
          <w:smallCaps w:val="false"/>
          <w:sz w:val="20"/>
        </w:rPr>
        <w:t>200 and the value of the shares, both totaling $</w:t>
      </w:r>
      <w:bookmarkStart w:id="268" w:name="xdx_904_eus-gaap--AdditionalCollateralAg"/>
      <w:bookmarkEnd w:id="268"/>
      <w:r>
        <w:rPr>
          <w:rFonts w:ascii="Times New Roman;Times;Serif" w:hAnsi="Times New Roman;Times;Serif"/>
          <w:b w:val="false"/>
          <w:i w:val="false"/>
          <w:caps w:val="false"/>
          <w:smallCaps w:val="false"/>
          <w:sz w:val="20"/>
        </w:rPr>
        <w:t>856, are included in vendor advances on the accompanying Balance Sheets as of June 30, 2026 and December 31, 2025. The unamortized balance of the advances was $</w:t>
      </w:r>
      <w:bookmarkStart w:id="269" w:name="xdx_908_eus-gaap--DebtInstrumentUnamorti"/>
      <w:bookmarkEnd w:id="269"/>
      <w:r>
        <w:rPr>
          <w:rFonts w:ascii="Times New Roman;Times;Serif" w:hAnsi="Times New Roman;Times;Serif"/>
          <w:b w:val="false"/>
          <w:i w:val="false"/>
          <w:caps w:val="false"/>
          <w:smallCaps w:val="false"/>
          <w:sz w:val="20"/>
        </w:rPr>
        <w:t>112 at June 30, 2026.</w:t>
      </w:r>
    </w:p>
    <w:p>
      <w:pPr>
        <w:pStyle w:val="TextBody"/>
        <w:bidi w:val="0"/>
        <w:spacing w:before="0" w:after="0"/>
        <w:ind w:left="0" w:right="0" w:hanging="0"/>
        <w:jc w:val="both"/>
        <w:rPr>
          <w:caps w:val="false"/>
          <w:smallCaps w:val="false"/>
        </w:rPr>
      </w:pPr>
      <w:bookmarkStart w:id="270" w:name="xdx_8A4_zEHt6AgBiBQc"/>
      <w:bookmarkEnd w:id="27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1" w:name="xdx_806_ecustom--DeferredOfferingCostsDi"/>
      <w:bookmarkEnd w:id="271"/>
      <w:r>
        <w:rPr>
          <w:rFonts w:ascii="Times New Roman;Times;Serif" w:hAnsi="Times New Roman;Times;Serif"/>
          <w:b/>
          <w:i w:val="false"/>
          <w:caps w:val="false"/>
          <w:smallCaps w:val="false"/>
          <w:sz w:val="20"/>
        </w:rPr>
        <w:t xml:space="preserve">NOTE 4 – </w:t>
      </w:r>
      <w:bookmarkStart w:id="272" w:name="xdx_82C_zgvVOMQe8lK2"/>
      <w:bookmarkEnd w:id="272"/>
      <w:r>
        <w:rPr>
          <w:rFonts w:ascii="Times New Roman;Times;Serif" w:hAnsi="Times New Roman;Times;Serif"/>
          <w:b/>
          <w:i w:val="false"/>
          <w:caps w:val="false"/>
          <w:smallCaps w:val="false"/>
          <w:sz w:val="20"/>
        </w:rPr>
        <w:t xml:space="preserve">DEFERRED OFFERING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Helena Global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entered into an agreement with Helena Global Investment Opportunities I LTD (“Helena”) pursuant to which the Company will have the right to issue and sell to Helena, from time to time, and Helena shall purchase from the Company, up to $</w:t>
      </w:r>
      <w:bookmarkStart w:id="273" w:name="xdx_90C_eus-gaap--StockIssuedDuringPerio"/>
      <w:bookmarkEnd w:id="273"/>
      <w:r>
        <w:rPr>
          <w:rFonts w:ascii="Times New Roman;Times;Serif" w:hAnsi="Times New Roman;Times;Serif"/>
          <w:b w:val="false"/>
          <w:i w:val="false"/>
          <w:caps w:val="false"/>
          <w:smallCaps w:val="false"/>
          <w:sz w:val="20"/>
        </w:rPr>
        <w:t>30,000 of the Company’s shares of common stock (the “Equity Line of Credit”). The Equity Line of Credit became available to the Company after the Company filed a registration statement on Form S-1 registering the shares issuable under the Equity Line of Credit and such registration statement became effective. In exchange for the Equity Line of Credit, the Company was obligated to issue Helena a certain number of shares of common stock, calculated using $</w:t>
      </w:r>
      <w:bookmarkStart w:id="274" w:name="xdx_90D_eus-gaap--StockIssuedDuringPerio"/>
      <w:bookmarkEnd w:id="274"/>
      <w:r>
        <w:rPr>
          <w:rFonts w:ascii="Times New Roman;Times;Serif" w:hAnsi="Times New Roman;Times;Serif"/>
          <w:b w:val="false"/>
          <w:i w:val="false"/>
          <w:caps w:val="false"/>
          <w:smallCaps w:val="false"/>
          <w:sz w:val="20"/>
        </w:rPr>
        <w:t xml:space="preserve">900 divided by the lowest one-day VWAP during the five trading days prior to entry into the agreement. As a result, the Company issued Helena </w:t>
      </w:r>
      <w:bookmarkStart w:id="275" w:name="xdx_90F_eus-gaap--StockIssuedDuringPerio"/>
      <w:bookmarkEnd w:id="275"/>
      <w:r>
        <w:rPr>
          <w:rFonts w:ascii="Times New Roman;Times;Serif" w:hAnsi="Times New Roman;Times;Serif"/>
          <w:b w:val="false"/>
          <w:i w:val="false"/>
          <w:caps w:val="false"/>
          <w:smallCaps w:val="false"/>
          <w:sz w:val="20"/>
        </w:rPr>
        <w:t>670,641 shares of its common stock valued at $</w:t>
      </w:r>
      <w:bookmarkStart w:id="276" w:name="xdx_902_eus-gaap--StockIssuedDuringPerio"/>
      <w:bookmarkEnd w:id="276"/>
      <w:r>
        <w:rPr>
          <w:rFonts w:ascii="Times New Roman;Times;Serif" w:hAnsi="Times New Roman;Times;Serif"/>
          <w:b w:val="false"/>
          <w:i w:val="false"/>
          <w:caps w:val="false"/>
          <w:smallCaps w:val="false"/>
          <w:sz w:val="20"/>
        </w:rPr>
        <w:t>1,377 on the date of issuance. The Company accounted for the value of the shares issued as deferred offering costs. The shares vested on the date of the agreement, were issued to Helena, and were subject to a “true up” based upon the value of the stock after the company filed and obtained effectiveness of the registration statement registering the ELOC shares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balance of the deferred offering costs relating to Helena was $</w:t>
      </w:r>
      <w:bookmarkStart w:id="277" w:name="xdx_90A_eus-gaap--DeferredOfferingCosts_"/>
      <w:bookmarkEnd w:id="277"/>
      <w:r>
        <w:rPr>
          <w:rFonts w:ascii="Times New Roman;Times;Serif" w:hAnsi="Times New Roman;Times;Serif"/>
          <w:b w:val="false"/>
          <w:i w:val="false"/>
          <w:caps w:val="false"/>
          <w:smallCaps w:val="false"/>
          <w:sz w:val="20"/>
        </w:rPr>
        <w:t>1,091. During the six months ended June 30, 2026, no funds were raised under the ELOC, and as such, the Company did not amortize any of these costs. As of June 30, 2026, the balance of the deferred offering costs relating to Helena was $</w:t>
      </w:r>
      <w:bookmarkStart w:id="278" w:name="xdx_909_eus-gaap--DeferredOfferingCosts_"/>
      <w:bookmarkEnd w:id="278"/>
      <w:r>
        <w:rPr>
          <w:rFonts w:ascii="Times New Roman;Times;Serif" w:hAnsi="Times New Roman;Times;Serif"/>
          <w:b w:val="false"/>
          <w:i w:val="false"/>
          <w:caps w:val="false"/>
          <w:smallCaps w:val="false"/>
          <w:sz w:val="20"/>
        </w:rPr>
        <w:t>1,091, which costs will be amortized and recognized as cost of capital upon further issuances of common stock under the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At the Market (ATM)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filed a shelf registration statement on Form S-3, registering up to $</w:t>
      </w:r>
      <w:bookmarkStart w:id="279" w:name="xdx_909_eus-gaap--StockIssuedDuringPerio"/>
      <w:bookmarkEnd w:id="279"/>
      <w:r>
        <w:rPr>
          <w:rFonts w:ascii="Times New Roman;Times;Serif" w:hAnsi="Times New Roman;Times;Serif"/>
          <w:b w:val="false"/>
          <w:i w:val="false"/>
          <w:caps w:val="false"/>
          <w:smallCaps w:val="false"/>
          <w:sz w:val="20"/>
        </w:rPr>
        <w:t>75,000 in aggregate securities and, in conjunction therewith, filed a prospectus supplement for the sale of up to $</w:t>
      </w:r>
      <w:bookmarkStart w:id="280" w:name="xdx_900_eus-gaap--SaleOfStockConsiderati"/>
      <w:bookmarkEnd w:id="280"/>
      <w:r>
        <w:rPr>
          <w:rFonts w:ascii="Times New Roman;Times;Serif" w:hAnsi="Times New Roman;Times;Serif"/>
          <w:b w:val="false"/>
          <w:i w:val="false"/>
          <w:caps w:val="false"/>
          <w:smallCaps w:val="false"/>
          <w:sz w:val="20"/>
        </w:rPr>
        <w:t>4,500 of common stock pursuant to an ATM Agreement (see Note 5). Deferred offering costs incurred relating to the ATM were $</w:t>
      </w:r>
      <w:bookmarkStart w:id="281" w:name="xdx_903_ecustom--DeferredCharges_c202601"/>
      <w:bookmarkEnd w:id="281"/>
      <w:r>
        <w:rPr>
          <w:rFonts w:ascii="Times New Roman;Times;Serif" w:hAnsi="Times New Roman;Times;Serif"/>
          <w:b w:val="false"/>
          <w:i w:val="false"/>
          <w:caps w:val="false"/>
          <w:smallCaps w:val="false"/>
          <w:sz w:val="20"/>
        </w:rPr>
        <w:t>209 during the six months ended June 30, 2026. During the six months ended June 30, 2026, the Company amortized $</w:t>
      </w:r>
      <w:bookmarkStart w:id="282" w:name="xdx_908_eus-gaap--AmortizationOfDeferred"/>
      <w:bookmarkEnd w:id="282"/>
      <w:r>
        <w:rPr>
          <w:rFonts w:ascii="Times New Roman;Times;Serif" w:hAnsi="Times New Roman;Times;Serif"/>
          <w:b w:val="false"/>
          <w:i w:val="false"/>
          <w:caps w:val="false"/>
          <w:smallCaps w:val="false"/>
          <w:sz w:val="20"/>
        </w:rPr>
        <w:t>18 of these costs, and as of June 30, 2026, the balance of the deferred offering costs relating to the ATM was $</w:t>
      </w:r>
      <w:bookmarkStart w:id="283" w:name="xdx_90A_eus-gaap--DeferredOfferingCosts_"/>
      <w:bookmarkEnd w:id="283"/>
      <w:r>
        <w:rPr>
          <w:rFonts w:ascii="Times New Roman;Times;Serif" w:hAnsi="Times New Roman;Times;Serif"/>
          <w:b w:val="false"/>
          <w:i w:val="false"/>
          <w:caps w:val="false"/>
          <w:smallCaps w:val="false"/>
          <w:sz w:val="20"/>
        </w:rPr>
        <w:t>191. These costs will be amortized and recognized as cost of capital upon further issuances of common stock under the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balance of the deferred offering costs was $</w:t>
      </w:r>
      <w:bookmarkStart w:id="284" w:name="xdx_900_eus-gaap--DeferredOfferingCosts_"/>
      <w:bookmarkEnd w:id="284"/>
      <w:r>
        <w:rPr>
          <w:rFonts w:ascii="Times New Roman;Times;Serif" w:hAnsi="Times New Roman;Times;Serif"/>
          <w:b w:val="false"/>
          <w:i w:val="false"/>
          <w:caps w:val="false"/>
          <w:smallCaps w:val="false"/>
          <w:sz w:val="20"/>
        </w:rPr>
        <w:t>1,282.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5" w:name="xdx_803_eus-gaap--StockholdersEquityNote"/>
      <w:bookmarkEnd w:id="285"/>
      <w:r>
        <w:rPr>
          <w:rFonts w:ascii="Times New Roman;Times;Serif" w:hAnsi="Times New Roman;Times;Serif"/>
          <w:b/>
          <w:i w:val="false"/>
          <w:caps w:val="false"/>
          <w:smallCaps w:val="false"/>
          <w:sz w:val="20"/>
        </w:rPr>
        <w:t xml:space="preserve">NOTE 5 – </w:t>
      </w:r>
      <w:bookmarkStart w:id="286" w:name="xdx_82A_zirYGlgXiN67"/>
      <w:bookmarkEnd w:id="286"/>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At the Market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referenced in Note 4 above, in January 2026, in conjunction with the Company’s shelf registration statement on Form S-3, the Company filed a prospectus supplement for the sale of up to $</w:t>
      </w:r>
      <w:bookmarkStart w:id="287" w:name="xdx_904_eus-gaap--SaleOfStockConsiderati"/>
      <w:bookmarkEnd w:id="287"/>
      <w:r>
        <w:rPr>
          <w:rFonts w:ascii="Times New Roman;Times;Serif" w:hAnsi="Times New Roman;Times;Serif"/>
          <w:b w:val="false"/>
          <w:i w:val="false"/>
          <w:caps w:val="false"/>
          <w:smallCaps w:val="false"/>
          <w:sz w:val="20"/>
        </w:rPr>
        <w:t xml:space="preserve">4,500 of common stock pursuant to an At the Market Offering Agreement (the “ATM Agreement”) with H.C. Wainwright and Co., LLC (the “Placement Agent”). Under the ATM Agreement, the Placement Agent will be entitled to </w:t>
      </w:r>
      <w:bookmarkStart w:id="288" w:name="xdx_900_eus-gaap--SaleOfStockPercentageO"/>
      <w:bookmarkEnd w:id="288"/>
      <w:r>
        <w:rPr>
          <w:rFonts w:ascii="Times New Roman;Times;Serif" w:hAnsi="Times New Roman;Times;Serif"/>
          <w:b w:val="false"/>
          <w:i w:val="false"/>
          <w:caps w:val="false"/>
          <w:smallCaps w:val="false"/>
          <w:sz w:val="20"/>
        </w:rPr>
        <w:t>3.0% of the gross proceeds of any sales made under the ATM Agreement. As a result of the ATM offering, during the six months ended June 30, 2026, the Company raised gross proceeds of $</w:t>
      </w:r>
      <w:bookmarkStart w:id="289" w:name="xdx_901_eus-gaap--SaleOfStockConsiderati"/>
      <w:bookmarkEnd w:id="289"/>
      <w:r>
        <w:rPr>
          <w:rFonts w:ascii="Times New Roman;Times;Serif" w:hAnsi="Times New Roman;Times;Serif"/>
          <w:b w:val="false"/>
          <w:i w:val="false"/>
          <w:caps w:val="false"/>
          <w:smallCaps w:val="false"/>
          <w:sz w:val="20"/>
        </w:rPr>
        <w:t xml:space="preserve">392 through the sale of </w:t>
      </w:r>
      <w:bookmarkStart w:id="290" w:name="xdx_90F_eus-gaap--SaleOfStockNumberOfSha"/>
      <w:bookmarkEnd w:id="290"/>
      <w:r>
        <w:rPr>
          <w:rFonts w:ascii="Times New Roman;Times;Serif" w:hAnsi="Times New Roman;Times;Serif"/>
          <w:b w:val="false"/>
          <w:i w:val="false"/>
          <w:caps w:val="false"/>
          <w:smallCaps w:val="false"/>
          <w:sz w:val="20"/>
        </w:rPr>
        <w:t>601,947 shares of its common stock. Net proceeds were $</w:t>
      </w:r>
      <w:bookmarkStart w:id="291" w:name="xdx_906_ecustom--StockIssuedDuringPeriod"/>
      <w:bookmarkEnd w:id="291"/>
      <w:r>
        <w:rPr>
          <w:rFonts w:ascii="Times New Roman;Times;Serif" w:hAnsi="Times New Roman;Times;Serif"/>
          <w:b w:val="false"/>
          <w:i w:val="false"/>
          <w:caps w:val="false"/>
          <w:smallCaps w:val="false"/>
          <w:sz w:val="20"/>
        </w:rPr>
        <w:t>374 after the amortization of associated 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Private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14, 2025, the Company entered into a securities purchase agreement (“SPA”) and registration rights agreement with an investor for the sale and issuance of </w:t>
      </w:r>
      <w:bookmarkStart w:id="292" w:name="xdx_90D_eus-gaap--SaleOfStockNumberOfSha"/>
      <w:bookmarkEnd w:id="292"/>
      <w:r>
        <w:rPr>
          <w:rFonts w:ascii="Times New Roman;Times;Serif" w:hAnsi="Times New Roman;Times;Serif"/>
          <w:b w:val="false"/>
          <w:i w:val="false"/>
          <w:caps w:val="false"/>
          <w:smallCaps w:val="false"/>
          <w:sz w:val="20"/>
        </w:rPr>
        <w:t>2,500,000 units (the “Pre-Funded Units”), with each Pre-Funded Unit consisting of a pre-funded warrant to purchase one share of common stock, exercisable for $</w:t>
      </w:r>
      <w:bookmarkStart w:id="293" w:name="xdx_905_eus-gaap--SaleOfStockPricePerSha"/>
      <w:bookmarkEnd w:id="293"/>
      <w:r>
        <w:rPr>
          <w:rFonts w:ascii="Times New Roman;Times;Serif" w:hAnsi="Times New Roman;Times;Serif"/>
          <w:b w:val="false"/>
          <w:i w:val="false"/>
          <w:caps w:val="false"/>
          <w:smallCaps w:val="false"/>
          <w:sz w:val="20"/>
        </w:rPr>
        <w:t xml:space="preserve">0.001 per share, and a common warrant to purchase one and one half shares of common stock (an aggregate of </w:t>
      </w:r>
      <w:bookmarkStart w:id="294" w:name="xdx_90B_eus-gaap--ClassOfWarrantOrRightN"/>
      <w:bookmarkEnd w:id="294"/>
      <w:r>
        <w:rPr>
          <w:rFonts w:ascii="Times New Roman;Times;Serif" w:hAnsi="Times New Roman;Times;Serif"/>
          <w:b w:val="false"/>
          <w:i w:val="false"/>
          <w:caps w:val="false"/>
          <w:smallCaps w:val="false"/>
          <w:sz w:val="20"/>
        </w:rPr>
        <w:t>3,750,000), exercisable at $</w:t>
      </w:r>
      <w:bookmarkStart w:id="295" w:name="xdx_90A_eus-gaap--SaleOfStockPricePerSha"/>
      <w:bookmarkEnd w:id="295"/>
      <w:r>
        <w:rPr>
          <w:rFonts w:ascii="Times New Roman;Times;Serif" w:hAnsi="Times New Roman;Times;Serif"/>
          <w:b w:val="false"/>
          <w:i w:val="false"/>
          <w:caps w:val="false"/>
          <w:smallCaps w:val="false"/>
          <w:sz w:val="20"/>
        </w:rPr>
        <w:t>1.399 per share. On January 16, 2025, the Company closed on the sale of the Pre-Funded Units for a total purchase price of $</w:t>
      </w:r>
      <w:bookmarkStart w:id="296" w:name="xdx_902_eus-gaap--SaleOfStockConsiderati"/>
      <w:bookmarkEnd w:id="296"/>
      <w:r>
        <w:rPr>
          <w:rFonts w:ascii="Times New Roman;Times;Serif" w:hAnsi="Times New Roman;Times;Serif"/>
          <w:b w:val="false"/>
          <w:i w:val="false"/>
          <w:caps w:val="false"/>
          <w:smallCaps w:val="false"/>
          <w:sz w:val="20"/>
        </w:rPr>
        <w:t>3,500 (or $</w:t>
      </w:r>
      <w:bookmarkStart w:id="297" w:name="xdx_90A_eus-gaap--SharesIssuedPricePerSh"/>
      <w:bookmarkEnd w:id="297"/>
      <w:r>
        <w:rPr>
          <w:rFonts w:ascii="Times New Roman;Times;Serif" w:hAnsi="Times New Roman;Times;Serif"/>
          <w:b w:val="false"/>
          <w:i w:val="false"/>
          <w:caps w:val="false"/>
          <w:smallCaps w:val="false"/>
          <w:sz w:val="20"/>
        </w:rPr>
        <w:t>1.40 per Pre-Funded Unit). Net proceeds received by the Company relating to the financing and subsequent exercise of prefunded warrants was $</w:t>
      </w:r>
      <w:bookmarkStart w:id="298" w:name="xdx_90E_eus-gaap--ProceedsFromIssuanceOr"/>
      <w:bookmarkEnd w:id="298"/>
      <w:r>
        <w:rPr>
          <w:rFonts w:ascii="Times New Roman;Times;Serif" w:hAnsi="Times New Roman;Times;Serif"/>
          <w:b w:val="false"/>
          <w:i w:val="false"/>
          <w:caps w:val="false"/>
          <w:smallCaps w:val="false"/>
          <w:sz w:val="20"/>
        </w:rPr>
        <w:t>3,058.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w:t>
      </w:r>
      <w:bookmarkStart w:id="299" w:name="xdx_90C_eus-gaap--ClassOfWarrantOrRightE"/>
      <w:bookmarkEnd w:id="299"/>
      <w:r>
        <w:rPr>
          <w:rFonts w:ascii="Times New Roman;Times;Serif" w:hAnsi="Times New Roman;Times;Serif"/>
          <w:b w:val="false"/>
          <w:i w:val="false"/>
          <w:caps w:val="false"/>
          <w:smallCaps w:val="false"/>
          <w:sz w:val="20"/>
        </w:rPr>
        <w:t>0.001 per share and are immediately exercisable and will expire when exercised in full. The common warrants have an exercise price of $</w:t>
      </w:r>
      <w:bookmarkStart w:id="300" w:name="xdx_901_eus-gaap--ClassOfWarrantOrRightE"/>
      <w:bookmarkEnd w:id="300"/>
      <w:r>
        <w:rPr>
          <w:rFonts w:ascii="Times New Roman;Times;Serif" w:hAnsi="Times New Roman;Times;Serif"/>
          <w:b w:val="false"/>
          <w:i w:val="false"/>
          <w:caps w:val="false"/>
          <w:smallCaps w:val="false"/>
          <w:sz w:val="20"/>
        </w:rPr>
        <w:t xml:space="preserve">1.40 per share, became exercisable six months from the date of issuance and will expire five and a half years from the issuance date. During the six months ended June 30, 2025, the investor exercised </w:t>
      </w:r>
      <w:bookmarkStart w:id="301" w:name="xdx_904_ecustom--StockIssuedDuringPeriod"/>
      <w:bookmarkEnd w:id="301"/>
      <w:r>
        <w:rPr>
          <w:rFonts w:ascii="Times New Roman;Times;Serif" w:hAnsi="Times New Roman;Times;Serif"/>
          <w:b w:val="false"/>
          <w:i w:val="false"/>
          <w:caps w:val="false"/>
          <w:smallCaps w:val="false"/>
          <w:sz w:val="20"/>
        </w:rPr>
        <w:t xml:space="preserve">2,500,000 shares of the pre-funded warrants and as of June 30, 2025, there were </w:t>
      </w:r>
      <w:bookmarkStart w:id="302" w:name="xdx_90F_ecustom--WarrantsUnexercised_iI_"/>
      <w:bookmarkEnd w:id="302"/>
      <w:r>
        <w:rPr>
          <w:rFonts w:ascii="Times New Roman;Times;Serif" w:hAnsi="Times New Roman;Times;Serif"/>
          <w:b w:val="false"/>
          <w:i w:val="false"/>
          <w:caps w:val="false"/>
          <w:smallCaps w:val="false"/>
          <w:sz w:val="20"/>
        </w:rPr>
        <w:t>no pre-funded shares remaining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Exercise of the Company’s Equity Line of Credit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2025, in connection with the ELOC agreement with Helena, the Company sold </w:t>
      </w:r>
      <w:bookmarkStart w:id="303" w:name="xdx_903_ecustom--StockIssuedDuringPeriod"/>
      <w:bookmarkStart w:id="304" w:name="xdx_90A_ecustom--StockIssuedDuringPeriod"/>
      <w:bookmarkEnd w:id="303"/>
      <w:bookmarkEnd w:id="304"/>
      <w:r>
        <w:rPr>
          <w:rFonts w:ascii="Times New Roman;Times;Serif" w:hAnsi="Times New Roman;Times;Serif"/>
          <w:b w:val="false"/>
          <w:i w:val="false"/>
          <w:caps w:val="false"/>
          <w:smallCaps w:val="false"/>
          <w:sz w:val="20"/>
        </w:rPr>
        <w:t>510,000 shares of its common stock to Helena for net proceeds of $</w:t>
      </w:r>
      <w:bookmarkStart w:id="305" w:name="xdx_900_ecustom--StockIssuedDuringPeriod"/>
      <w:bookmarkStart w:id="306" w:name="xdx_907_ecustom--StockIssuedDuringPeriod"/>
      <w:bookmarkEnd w:id="305"/>
      <w:bookmarkEnd w:id="306"/>
      <w:r>
        <w:rPr>
          <w:rFonts w:ascii="Times New Roman;Times;Serif" w:hAnsi="Times New Roman;Times;Serif"/>
          <w:b w:val="false"/>
          <w:i w:val="false"/>
          <w:caps w:val="false"/>
          <w:smallCaps w:val="false"/>
          <w:sz w:val="20"/>
        </w:rPr>
        <w:t>210. The shares were issued to Helena during the six months ended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Adoption of the 2023 Equity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Company’s board of directors and stockholders adopted the 2023 Equity Incentive Plan (the “2023 Plan”). Under the 2023 Plan, the Company may grant incentive stock options to employees, including employees of any parent or subsidiary, and nonstatutory stock options, stock appreciation rights, restricted stock awards, restricted stock unit awards, performance awards and other forms of stock compensation to employees, directors and consultants, including employees and consultants of the Company’s affiliates. As approved, a total of </w:t>
      </w:r>
      <w:bookmarkStart w:id="307" w:name="xdx_909_eus-gaap--CommonStockCapitalShar"/>
      <w:bookmarkEnd w:id="307"/>
      <w:r>
        <w:rPr>
          <w:rFonts w:ascii="Times New Roman;Times;Serif" w:hAnsi="Times New Roman;Times;Serif"/>
          <w:b w:val="false"/>
          <w:i w:val="false"/>
          <w:caps w:val="false"/>
          <w:smallCaps w:val="false"/>
          <w:sz w:val="20"/>
        </w:rPr>
        <w:t xml:space="preserve">1,650,000 shares of common stock were initially reserved for issuance under the 2023 Plan. As of December 31, 2025, a total of </w:t>
      </w:r>
      <w:bookmarkStart w:id="308" w:name="xdx_905_eus-gaap--ShareBasedCompensation"/>
      <w:bookmarkEnd w:id="308"/>
      <w:r>
        <w:rPr>
          <w:rFonts w:ascii="Times New Roman;Times;Serif" w:hAnsi="Times New Roman;Times;Serif"/>
          <w:b w:val="false"/>
          <w:i w:val="false"/>
          <w:caps w:val="false"/>
          <w:smallCaps w:val="false"/>
          <w:sz w:val="20"/>
        </w:rPr>
        <w:t>877,395 shares remained available for issuance under the 2023 Plan,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7, 2026, the Company’s Board of Directors approved, and unanimously recommended the Company’s stockholder approve, (i) increasing the number of shares of common stock available for awards under the 2023 Plan by an additional </w:t>
      </w:r>
      <w:bookmarkStart w:id="309" w:name="xdx_909_eus-gaap--StockIssuedDuringPerio"/>
      <w:bookmarkEnd w:id="309"/>
      <w:r>
        <w:rPr>
          <w:rFonts w:ascii="Times New Roman;Times;Serif" w:hAnsi="Times New Roman;Times;Serif"/>
          <w:b w:val="false"/>
          <w:i w:val="false"/>
          <w:caps w:val="false"/>
          <w:smallCaps w:val="false"/>
          <w:sz w:val="20"/>
        </w:rPr>
        <w:t xml:space="preserve">5,000,000 shares and (ii) adopting an evergreen provision by which the number of reserved shares of common stock available for issuance will automatically increase on January 1, 2027 and on each subsequent January 1 through and including January 1, 2033, in an amount equal to 5% of the total number of shares of common stock issued and outstanding on December 31 of the immediately preceding calendar year or an amount as may be decided by the Board. On June 29, 2026, the Company’s shareholders approved adding these provisions to the 2023 Plan, which were added pursuant to Amendment No. 1 to the 2023 Plan. As of June 30, 2026, a total of </w:t>
      </w:r>
      <w:bookmarkStart w:id="310" w:name="xdx_90E_eus-gaap--CommonStockCapitalShar"/>
      <w:bookmarkEnd w:id="310"/>
      <w:r>
        <w:rPr>
          <w:rFonts w:ascii="Times New Roman;Times;Serif" w:hAnsi="Times New Roman;Times;Serif"/>
          <w:b w:val="false"/>
          <w:i w:val="false"/>
          <w:caps w:val="false"/>
          <w:smallCaps w:val="false"/>
          <w:sz w:val="20"/>
        </w:rPr>
        <w:t xml:space="preserve">6,650,000 shares of the Company’s common stock were reserved for issuance under the 2023 Plan and a total of </w:t>
      </w:r>
      <w:bookmarkStart w:id="311" w:name="xdx_909_eus-gaap--ShareBasedCompensation"/>
      <w:bookmarkEnd w:id="311"/>
      <w:r>
        <w:rPr>
          <w:rFonts w:ascii="Times New Roman;Times;Serif" w:hAnsi="Times New Roman;Times;Serif"/>
          <w:b w:val="false"/>
          <w:i w:val="false"/>
          <w:caps w:val="false"/>
          <w:smallCaps w:val="false"/>
          <w:sz w:val="20"/>
        </w:rPr>
        <w:t>5,877,395 shares remained available for issuance under the 2023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Grant of Restricted Stock Units (RSUs)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312" w:name="xdx_893_eus-gaap--ScheduleOfShareBasedCo"/>
      <w:bookmarkEnd w:id="312"/>
      <w:r>
        <w:rPr>
          <w:rFonts w:ascii="Times New Roman;Times;Serif" w:hAnsi="Times New Roman;Times;Serif"/>
          <w:b w:val="false"/>
          <w:i w:val="false"/>
          <w:caps w:val="false"/>
          <w:smallCaps w:val="false"/>
          <w:sz w:val="20"/>
          <w:shd w:fill="FFFFFF" w:val="clear"/>
        </w:rPr>
        <w:t>The following table summarizes restricted common stock activity during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3" w:name="xdx_8BB_zoP5GbsVbVY3"/>
      <w:bookmarkEnd w:id="313"/>
      <w:r>
        <w:rPr>
          <w:rFonts w:ascii="Times New Roman;Times;Serif" w:hAnsi="Times New Roman;Times;Serif"/>
          <w:b w:val="false"/>
          <w:i w:val="false"/>
          <w:caps w:val="false"/>
          <w:smallCaps w:val="false"/>
          <w:sz w:val="20"/>
        </w:rPr>
        <w:t>SCHEDULE OF RESTRICTED COMMON STOCK ACTIVITY </w:t>
      </w:r>
    </w:p>
    <w:tbl>
      <w:tblPr>
        <w:tblW w:w="10205" w:type="dxa"/>
        <w:jc w:val="left"/>
        <w:tblInd w:w="0" w:type="dxa"/>
        <w:tblLayout w:type="fixed"/>
        <w:tblCellMar>
          <w:top w:w="0" w:type="dxa"/>
          <w:left w:w="0" w:type="dxa"/>
          <w:bottom w:w="0" w:type="dxa"/>
          <w:right w:w="0" w:type="dxa"/>
        </w:tblCellMar>
      </w:tblPr>
      <w:tblGrid>
        <w:gridCol w:w="2864"/>
        <w:gridCol w:w="60"/>
        <w:gridCol w:w="165"/>
        <w:gridCol w:w="2215"/>
        <w:gridCol w:w="60"/>
        <w:gridCol w:w="60"/>
        <w:gridCol w:w="256"/>
        <w:gridCol w:w="841"/>
        <w:gridCol w:w="95"/>
        <w:gridCol w:w="60"/>
        <w:gridCol w:w="831"/>
        <w:gridCol w:w="2620"/>
        <w:gridCol w:w="78"/>
      </w:tblGrid>
      <w:tr>
        <w:trPr/>
        <w:tc>
          <w:tcPr>
            <w:tcW w:w="28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Restricted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Grant Date Fair Value</w:t>
            </w:r>
          </w:p>
        </w:tc>
        <w:tc>
          <w:tcPr>
            <w:tcW w:w="78"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December 31, 2025</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314" w:name="xdx_98D_eus-gaap--SharebasedCompensation"/>
            <w:bookmarkEnd w:id="314"/>
          </w:p>
        </w:tc>
        <w:tc>
          <w:tcPr>
            <w:tcW w:w="22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bookmarkStart w:id="315" w:name="xdx_980_eus-gaap--ShareBasedCompensation"/>
            <w:bookmarkEnd w:id="315"/>
          </w:p>
        </w:tc>
        <w:tc>
          <w:tcPr>
            <w:tcW w:w="8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bookmarkStart w:id="316" w:name="xdx_98C_eus-gaap--SharebasedCompensation"/>
            <w:bookmarkEnd w:id="316"/>
          </w:p>
        </w:tc>
        <w:tc>
          <w:tcPr>
            <w:tcW w:w="26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78" w:type="dxa"/>
            <w:tcBorders/>
            <w:shd w:fill="CCEEFF" w:val="clear"/>
            <w:vAlign w:val="center"/>
          </w:tcPr>
          <w:p>
            <w:pPr>
              <w:pStyle w:val="TableContents"/>
              <w:bidi w:val="0"/>
              <w:spacing w:before="0" w:after="283"/>
              <w:jc w:val="left"/>
              <w:rPr/>
            </w:pPr>
            <w:r>
              <w:rPr/>
              <w:t> </w:t>
            </w:r>
          </w:p>
        </w:tc>
      </w:tr>
      <w:tr>
        <w:trPr/>
        <w:tc>
          <w:tcPr>
            <w:tcW w:w="286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317" w:name="xdx_98F_eus-gaap--ShareBasedCompensation"/>
            <w:bookmarkEnd w:id="317"/>
          </w:p>
        </w:tc>
        <w:tc>
          <w:tcPr>
            <w:tcW w:w="22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bookmarkStart w:id="318" w:name="xdx_983_ecustom--SharebasedCompensationA"/>
            <w:bookmarkEnd w:id="318"/>
          </w:p>
        </w:tc>
        <w:tc>
          <w:tcPr>
            <w:tcW w:w="8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bookmarkStart w:id="319" w:name="xdx_987_eus-gaap--ShareBasedCompensation"/>
            <w:bookmarkEnd w:id="319"/>
          </w:p>
        </w:tc>
        <w:tc>
          <w:tcPr>
            <w:tcW w:w="2620"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320" w:name="xdx_982_eus-gaap--SharebasedCompensation"/>
            <w:bookmarkEnd w:id="320"/>
          </w:p>
        </w:tc>
        <w:tc>
          <w:tcPr>
            <w:tcW w:w="22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bookmarkStart w:id="321" w:name="xdx_983_eus-gaap--SharebasedCompensation"/>
            <w:bookmarkEnd w:id="321"/>
          </w:p>
        </w:tc>
        <w:tc>
          <w:tcPr>
            <w:tcW w:w="8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bookmarkStart w:id="322" w:name="xdx_986_eus-gaap--SharebasedCompensation"/>
            <w:bookmarkEnd w:id="322"/>
          </w:p>
        </w:tc>
        <w:tc>
          <w:tcPr>
            <w:tcW w:w="262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86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3" w:name="xdx_985_eus-gaap--SharebasedCompensation"/>
            <w:bookmarkEnd w:id="323"/>
          </w:p>
        </w:tc>
        <w:tc>
          <w:tcPr>
            <w:tcW w:w="22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4" w:name="xdx_98A_ecustom--SharebasedCompensationA"/>
            <w:bookmarkEnd w:id="324"/>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5" w:name="xdx_98F_eus-gaap--SharebasedCompensation"/>
            <w:bookmarkEnd w:id="325"/>
          </w:p>
        </w:tc>
        <w:tc>
          <w:tcPr>
            <w:tcW w:w="26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June 30, 2026</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6" w:name="xdx_98B_eus-gaap--SharebasedCompensation"/>
            <w:bookmarkEnd w:id="326"/>
          </w:p>
        </w:tc>
        <w:tc>
          <w:tcPr>
            <w:tcW w:w="22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7" w:name="xdx_98D_eus-gaap--ShareBasedCompensation"/>
            <w:bookmarkEnd w:id="327"/>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8" w:name="xdx_98B_eus-gaap--SharebasedCompensation"/>
            <w:bookmarkEnd w:id="328"/>
          </w:p>
        </w:tc>
        <w:tc>
          <w:tcPr>
            <w:tcW w:w="2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9" w:name="xdx_8A6_zwXVFtyv9Va5"/>
      <w:bookmarkEnd w:id="3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recorded $</w:t>
      </w:r>
      <w:bookmarkStart w:id="330" w:name="xdx_903_ecustom--FairValueOfRestrictedSt"/>
      <w:bookmarkEnd w:id="330"/>
      <w:r>
        <w:rPr>
          <w:rFonts w:ascii="Times New Roman;Times;Serif" w:hAnsi="Times New Roman;Times;Serif"/>
          <w:b w:val="false"/>
          <w:i w:val="false"/>
          <w:caps w:val="false"/>
          <w:smallCaps w:val="false"/>
          <w:sz w:val="20"/>
        </w:rPr>
        <w:t>518 and $</w:t>
      </w:r>
      <w:bookmarkStart w:id="331" w:name="xdx_902_ecustom--FairValueOfRestrictedSt"/>
      <w:bookmarkEnd w:id="331"/>
      <w:r>
        <w:rPr>
          <w:rFonts w:ascii="Times New Roman;Times;Serif" w:hAnsi="Times New Roman;Times;Serif"/>
          <w:b w:val="false"/>
          <w:i w:val="false"/>
          <w:caps w:val="false"/>
          <w:smallCaps w:val="false"/>
          <w:sz w:val="20"/>
        </w:rPr>
        <w:t>153, respectively, of stock compensation-related expense for the fair value vesting of restricted common stock. As of June 30, 2026, $</w:t>
      </w:r>
      <w:bookmarkStart w:id="332" w:name="xdx_908_ecustom--FairValueOfUnamortizedC"/>
      <w:bookmarkEnd w:id="332"/>
      <w:r>
        <w:rPr>
          <w:rFonts w:ascii="Times New Roman;Times;Serif" w:hAnsi="Times New Roman;Times;Serif"/>
          <w:b w:val="false"/>
          <w:i w:val="false"/>
          <w:caps w:val="false"/>
          <w:smallCaps w:val="false"/>
          <w:sz w:val="20"/>
        </w:rPr>
        <w:t>295 of unamortized compensation remained.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99_eus-gaap--ScheduleOfStockholders"/>
      <w:bookmarkEnd w:id="333"/>
      <w:r>
        <w:rPr>
          <w:rFonts w:ascii="Times New Roman;Times;Serif" w:hAnsi="Times New Roman;Times;Serif"/>
          <w:b w:val="false"/>
          <w:i w:val="false"/>
          <w:caps w:val="false"/>
          <w:smallCaps w:val="false"/>
          <w:sz w:val="20"/>
        </w:rPr>
        <w:t>The table below summarizes the Company’s warrant activities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4" w:name="xdx_8B4_ztU4NSjjiYx"/>
      <w:bookmarkEnd w:id="334"/>
      <w:r>
        <w:rPr>
          <w:rFonts w:ascii="Times New Roman;Times;Serif" w:hAnsi="Times New Roman;Times;Serif"/>
          <w:b w:val="false"/>
          <w:i w:val="false"/>
          <w:caps w:val="false"/>
          <w:smallCaps w:val="false"/>
          <w:sz w:val="20"/>
        </w:rPr>
        <w:t>SCHEDULE OF WARRANT ACTIVITY </w:t>
      </w:r>
    </w:p>
    <w:tbl>
      <w:tblPr>
        <w:tblW w:w="10205" w:type="dxa"/>
        <w:jc w:val="left"/>
        <w:tblInd w:w="0" w:type="dxa"/>
        <w:tblLayout w:type="fixed"/>
        <w:tblCellMar>
          <w:top w:w="0" w:type="dxa"/>
          <w:left w:w="0" w:type="dxa"/>
          <w:bottom w:w="0" w:type="dxa"/>
          <w:right w:w="0" w:type="dxa"/>
        </w:tblCellMar>
      </w:tblPr>
      <w:tblGrid>
        <w:gridCol w:w="3099"/>
        <w:gridCol w:w="60"/>
        <w:gridCol w:w="117"/>
        <w:gridCol w:w="1922"/>
        <w:gridCol w:w="60"/>
        <w:gridCol w:w="60"/>
        <w:gridCol w:w="306"/>
        <w:gridCol w:w="1972"/>
        <w:gridCol w:w="60"/>
        <w:gridCol w:w="60"/>
        <w:gridCol w:w="580"/>
        <w:gridCol w:w="1830"/>
        <w:gridCol w:w="79"/>
      </w:tblGrid>
      <w:tr>
        <w:trPr/>
        <w:tc>
          <w:tcPr>
            <w:tcW w:w="3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Warrant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Range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w:t>
            </w:r>
          </w:p>
        </w:tc>
        <w:tc>
          <w:tcPr>
            <w:tcW w:w="79" w:type="dxa"/>
            <w:tcBorders/>
            <w:vAlign w:val="center"/>
          </w:tcPr>
          <w:p>
            <w:pPr>
              <w:pStyle w:val="TableContents"/>
              <w:bidi w:val="0"/>
              <w:spacing w:before="0" w:after="283"/>
              <w:jc w:val="left"/>
              <w:rPr/>
            </w:pPr>
            <w:r>
              <w:rPr/>
              <w:t> </w:t>
            </w:r>
          </w:p>
        </w:tc>
      </w:tr>
      <w:tr>
        <w:trPr/>
        <w:tc>
          <w:tcPr>
            <w:tcW w:w="3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309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December 31, 2025</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bookmarkStart w:id="335" w:name="xdx_986_eus-gaap--ShareBasedCompensation"/>
            <w:bookmarkEnd w:id="335"/>
          </w:p>
        </w:tc>
        <w:tc>
          <w:tcPr>
            <w:tcW w:w="19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972" w:type="dxa"/>
            <w:tcBorders/>
            <w:shd w:fill="CCEEFF" w:val="clear"/>
            <w:vAlign w:val="center"/>
          </w:tcPr>
          <w:p>
            <w:pPr>
              <w:pStyle w:val="TableContents"/>
              <w:bidi w:val="0"/>
              <w:spacing w:before="0" w:after="283"/>
              <w:jc w:val="right"/>
              <w:rPr>
                <w:rFonts w:ascii="Times New Roman;Times;Serif" w:hAnsi="Times New Roman;Times;Serif"/>
                <w:sz w:val="20"/>
              </w:rPr>
            </w:pPr>
            <w:bookmarkStart w:id="336" w:name="xdx_901_ecustom--ShareBasedCompensationS"/>
            <w:bookmarkEnd w:id="336"/>
            <w:r>
              <w:rPr>
                <w:rFonts w:ascii="Times New Roman;Times;Serif" w:hAnsi="Times New Roman;Times;Serif"/>
                <w:sz w:val="20"/>
              </w:rPr>
              <w:t xml:space="preserve">0.40 - </w:t>
            </w:r>
            <w:bookmarkStart w:id="337" w:name="xdx_902_ecustom--ShareBasedCompensationS"/>
            <w:bookmarkEnd w:id="337"/>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left"/>
              <w:rPr/>
            </w:pPr>
            <w:r>
              <w:rPr/>
              <w:t> </w:t>
            </w:r>
            <w:bookmarkStart w:id="338" w:name="xdx_980_eus-gaap--ShareBasedCompensation"/>
            <w:bookmarkEnd w:id="338"/>
          </w:p>
        </w:tc>
        <w:tc>
          <w:tcPr>
            <w:tcW w:w="1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9" w:type="dxa"/>
            <w:tcBorders/>
            <w:shd w:fill="CCEEFF" w:val="clear"/>
            <w:vAlign w:val="center"/>
          </w:tcPr>
          <w:p>
            <w:pPr>
              <w:pStyle w:val="TableContents"/>
              <w:bidi w:val="0"/>
              <w:spacing w:before="0" w:after="283"/>
              <w:jc w:val="left"/>
              <w:rPr/>
            </w:pPr>
            <w:r>
              <w:rPr/>
              <w:t> </w:t>
            </w:r>
          </w:p>
        </w:tc>
      </w:tr>
      <w:tr>
        <w:trPr/>
        <w:tc>
          <w:tcPr>
            <w:tcW w:w="309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bookmarkStart w:id="339" w:name="xdx_98F_eus-gaap--ShareBasedCompensation"/>
            <w:bookmarkEnd w:id="339"/>
          </w:p>
        </w:tc>
        <w:tc>
          <w:tcPr>
            <w:tcW w:w="19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972" w:type="dxa"/>
            <w:tcBorders/>
            <w:shd w:fill="FFFFFF" w:val="clear"/>
            <w:vAlign w:val="center"/>
          </w:tcPr>
          <w:p>
            <w:pPr>
              <w:pStyle w:val="TableContents"/>
              <w:bidi w:val="0"/>
              <w:spacing w:before="0" w:after="283"/>
              <w:jc w:val="right"/>
              <w:rPr/>
            </w:pPr>
            <w:bookmarkStart w:id="340" w:name="xdx_900_ecustom--ShareBasedCompensationS"/>
            <w:bookmarkEnd w:id="34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bookmarkStart w:id="341" w:name="xdx_984_eus-gaap--ShareBasedCompensation"/>
            <w:bookmarkEnd w:id="341"/>
          </w:p>
        </w:tc>
        <w:tc>
          <w:tcPr>
            <w:tcW w:w="183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09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bookmarkStart w:id="342" w:name="xdx_987_ecustom--ShareBasedCompensationA"/>
            <w:bookmarkEnd w:id="342"/>
          </w:p>
        </w:tc>
        <w:tc>
          <w:tcPr>
            <w:tcW w:w="19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343" w:name="xdx_989_ecustom--ShareBasedCompensationS"/>
            <w:bookmarkEnd w:id="343"/>
          </w:p>
        </w:tc>
        <w:tc>
          <w:tcPr>
            <w:tcW w:w="1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left"/>
              <w:rPr/>
            </w:pPr>
            <w:r>
              <w:rPr/>
              <w:t> </w:t>
            </w:r>
            <w:bookmarkStart w:id="344" w:name="xdx_988_ecustom--ShareBasedCompensationA"/>
            <w:bookmarkEnd w:id="344"/>
          </w:p>
        </w:tc>
        <w:tc>
          <w:tcPr>
            <w:tcW w:w="1830"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09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bookmarkStart w:id="345" w:name="xdx_981_ecustom--ShareBasedCompensationA"/>
            <w:bookmarkEnd w:id="345"/>
          </w:p>
        </w:tc>
        <w:tc>
          <w:tcPr>
            <w:tcW w:w="19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972" w:type="dxa"/>
            <w:tcBorders/>
            <w:shd w:fill="FFFFFF" w:val="clear"/>
            <w:vAlign w:val="center"/>
          </w:tcPr>
          <w:p>
            <w:pPr>
              <w:pStyle w:val="TableContents"/>
              <w:bidi w:val="0"/>
              <w:spacing w:before="0" w:after="283"/>
              <w:jc w:val="right"/>
              <w:rPr/>
            </w:pPr>
            <w:bookmarkStart w:id="346" w:name="xdx_90C_ecustom--ShareBasedCompensationS"/>
            <w:bookmarkEnd w:id="346"/>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bookmarkStart w:id="347" w:name="xdx_98F_ecustom--ShareBasedCompensationA"/>
            <w:bookmarkEnd w:id="347"/>
          </w:p>
        </w:tc>
        <w:tc>
          <w:tcPr>
            <w:tcW w:w="183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09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Forfeited/Expired</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8" w:name="xdx_982_eus-gaap--ShareBasedCompensation"/>
            <w:bookmarkEnd w:id="348"/>
          </w:p>
        </w:tc>
        <w:tc>
          <w:tcPr>
            <w:tcW w:w="19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9" w:name="xdx_988_ecustom--ShareBasedCompensationS"/>
            <w:bookmarkEnd w:id="349"/>
          </w:p>
        </w:tc>
        <w:tc>
          <w:tcPr>
            <w:tcW w:w="19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0" w:name="xdx_986_eus-gaap--ShareBasedCompensation"/>
            <w:bookmarkEnd w:id="350"/>
          </w:p>
        </w:tc>
        <w:tc>
          <w:tcPr>
            <w:tcW w:w="1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09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June 30, 2026</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1" w:name="xdx_98E_eus-gaap--ShareBasedCompensation"/>
            <w:bookmarkEnd w:id="351"/>
          </w:p>
        </w:tc>
        <w:tc>
          <w:tcPr>
            <w:tcW w:w="1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352" w:name="xdx_905_ecustom--ShareBasedCompensationS"/>
            <w:bookmarkEnd w:id="352"/>
            <w:r>
              <w:rPr>
                <w:rFonts w:ascii="Times New Roman;Times;Serif" w:hAnsi="Times New Roman;Times;Serif"/>
                <w:sz w:val="20"/>
              </w:rPr>
              <w:t xml:space="preserve">0.40 – </w:t>
            </w:r>
            <w:bookmarkStart w:id="353" w:name="xdx_908_ecustom--ShareBasedCompensationS"/>
            <w:bookmarkEnd w:id="353"/>
            <w:r>
              <w:rPr>
                <w:rFonts w:ascii="Times New Roman;Times;Serif" w:hAnsi="Times New Roman;Times;Serif"/>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4" w:name="xdx_98A_eus-gaap--ShareBasedCompensation"/>
            <w:bookmarkEnd w:id="354"/>
          </w:p>
        </w:tc>
        <w:tc>
          <w:tcPr>
            <w:tcW w:w="1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9" w:type="dxa"/>
            <w:tcBorders/>
            <w:shd w:fill="FFFFFF" w:val="clear"/>
            <w:vAlign w:val="center"/>
          </w:tcPr>
          <w:p>
            <w:pPr>
              <w:pStyle w:val="TableContents"/>
              <w:bidi w:val="0"/>
              <w:spacing w:before="0" w:after="283"/>
              <w:jc w:val="left"/>
              <w:rPr/>
            </w:pPr>
            <w:r>
              <w:rPr/>
              <w:t> </w:t>
            </w:r>
          </w:p>
        </w:tc>
      </w:tr>
      <w:tr>
        <w:trPr/>
        <w:tc>
          <w:tcPr>
            <w:tcW w:w="309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exercisable, June 30, 2026</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5" w:name="xdx_987_ecustom--ShareBasedCompensationA"/>
            <w:bookmarkEnd w:id="355"/>
          </w:p>
        </w:tc>
        <w:tc>
          <w:tcPr>
            <w:tcW w:w="1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356" w:name="xdx_905_ecustom--ShareBasedCompensationS"/>
            <w:bookmarkEnd w:id="356"/>
            <w:r>
              <w:rPr>
                <w:rFonts w:ascii="Times New Roman;Times;Serif" w:hAnsi="Times New Roman;Times;Serif"/>
                <w:sz w:val="20"/>
              </w:rPr>
              <w:t xml:space="preserve">0.40 – </w:t>
            </w:r>
            <w:bookmarkStart w:id="357" w:name="xdx_901_ecustom--ShareBasedCompensationS"/>
            <w:bookmarkEnd w:id="357"/>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8" w:name="xdx_98D_eus-gaap--ShareBasedCompensation"/>
            <w:bookmarkEnd w:id="358"/>
          </w:p>
        </w:tc>
        <w:tc>
          <w:tcPr>
            <w:tcW w:w="1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9" w:name="xdx_8AE_zlQ7AmEFH5v2"/>
      <w:bookmarkEnd w:id="3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xdx_898_ecustom--ScheduleOfWarrantsOutst"/>
      <w:bookmarkEnd w:id="360"/>
      <w:r>
        <w:rPr>
          <w:rFonts w:ascii="Times New Roman;Times;Serif" w:hAnsi="Times New Roman;Times;Serif"/>
          <w:b w:val="false"/>
          <w:i w:val="false"/>
          <w:caps w:val="false"/>
          <w:smallCaps w:val="false"/>
          <w:sz w:val="20"/>
        </w:rPr>
        <w:t>The following table summarizes information concerning outstanding and exercisable warrants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B1_zlkwO8kvl9vh"/>
      <w:bookmarkEnd w:id="361"/>
      <w:r>
        <w:rPr>
          <w:rFonts w:ascii="Times New Roman;Times;Serif" w:hAnsi="Times New Roman;Times;Serif"/>
          <w:b w:val="false"/>
          <w:i w:val="false"/>
          <w:caps w:val="false"/>
          <w:smallCaps w:val="false"/>
          <w:sz w:val="20"/>
        </w:rPr>
        <w:t>SCHEDULE OF OUTSTANDING AND EXERCISABLE WARRANTS</w:t>
      </w:r>
    </w:p>
    <w:tbl>
      <w:tblPr>
        <w:tblW w:w="10205" w:type="dxa"/>
        <w:jc w:val="left"/>
        <w:tblInd w:w="0" w:type="dxa"/>
        <w:tblLayout w:type="fixed"/>
        <w:tblCellMar>
          <w:top w:w="0" w:type="dxa"/>
          <w:left w:w="0" w:type="dxa"/>
          <w:bottom w:w="0" w:type="dxa"/>
          <w:right w:w="0" w:type="dxa"/>
        </w:tblCellMar>
      </w:tblPr>
      <w:tblGrid>
        <w:gridCol w:w="190"/>
        <w:gridCol w:w="877"/>
        <w:gridCol w:w="60"/>
        <w:gridCol w:w="60"/>
        <w:gridCol w:w="68"/>
        <w:gridCol w:w="1146"/>
        <w:gridCol w:w="60"/>
        <w:gridCol w:w="60"/>
        <w:gridCol w:w="201"/>
        <w:gridCol w:w="1487"/>
        <w:gridCol w:w="60"/>
        <w:gridCol w:w="60"/>
        <w:gridCol w:w="307"/>
        <w:gridCol w:w="968"/>
        <w:gridCol w:w="60"/>
        <w:gridCol w:w="60"/>
        <w:gridCol w:w="68"/>
        <w:gridCol w:w="1128"/>
        <w:gridCol w:w="60"/>
        <w:gridCol w:w="60"/>
        <w:gridCol w:w="201"/>
        <w:gridCol w:w="1487"/>
        <w:gridCol w:w="60"/>
        <w:gridCol w:w="60"/>
        <w:gridCol w:w="307"/>
        <w:gridCol w:w="968"/>
        <w:gridCol w:w="82"/>
      </w:tblGrid>
      <w:tr>
        <w:trPr/>
        <w:tc>
          <w:tcPr>
            <w:tcW w:w="106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Exercisable</w:t>
            </w:r>
          </w:p>
        </w:tc>
        <w:tc>
          <w:tcPr>
            <w:tcW w:w="82" w:type="dxa"/>
            <w:tcBorders/>
            <w:vAlign w:val="center"/>
          </w:tcPr>
          <w:p>
            <w:pPr>
              <w:pStyle w:val="TableContents"/>
              <w:bidi w:val="0"/>
              <w:spacing w:before="0" w:after="283"/>
              <w:jc w:val="left"/>
              <w:rPr/>
            </w:pPr>
            <w:r>
              <w:rPr/>
              <w:t> </w:t>
            </w:r>
          </w:p>
        </w:tc>
      </w:tr>
      <w:tr>
        <w:trPr/>
        <w:tc>
          <w:tcPr>
            <w:tcW w:w="106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 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w:t>
            </w:r>
          </w:p>
        </w:tc>
        <w:tc>
          <w:tcPr>
            <w:tcW w:w="82" w:type="dxa"/>
            <w:tcBorders/>
            <w:vAlign w:val="center"/>
          </w:tcPr>
          <w:p>
            <w:pPr>
              <w:pStyle w:val="TableContents"/>
              <w:bidi w:val="0"/>
              <w:spacing w:before="0" w:after="283"/>
              <w:jc w:val="left"/>
              <w:rPr/>
            </w:pPr>
            <w:r>
              <w:rPr/>
              <w:t> </w:t>
            </w:r>
          </w:p>
        </w:tc>
      </w:tr>
      <w:tr>
        <w:trPr/>
        <w:tc>
          <w:tcPr>
            <w:tcW w:w="106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7" w:type="dxa"/>
            <w:tcBorders/>
            <w:shd w:fill="CCEEFF" w:val="clear"/>
            <w:vAlign w:val="center"/>
          </w:tcPr>
          <w:p>
            <w:pPr>
              <w:pStyle w:val="TableContents"/>
              <w:bidi w:val="0"/>
              <w:spacing w:before="0" w:after="283"/>
              <w:jc w:val="right"/>
              <w:rPr>
                <w:rFonts w:ascii="Times New Roman;Times;Serif" w:hAnsi="Times New Roman;Times;Serif"/>
                <w:sz w:val="20"/>
              </w:rPr>
            </w:pPr>
            <w:bookmarkStart w:id="362" w:name="xdx_907_ecustom--ShareBasedCompensationS"/>
            <w:bookmarkEnd w:id="362"/>
            <w:r>
              <w:rPr>
                <w:rFonts w:ascii="Times New Roman;Times;Serif" w:hAnsi="Times New Roman;Times;Serif"/>
                <w:sz w:val="20"/>
              </w:rPr>
              <w:t xml:space="preserve">0.40 - </w:t>
            </w:r>
            <w:bookmarkStart w:id="363" w:name="xdx_90F_ecustom--ShareBasedCompensationS"/>
            <w:bookmarkEnd w:id="363"/>
            <w:r>
              <w:rPr>
                <w:rFonts w:ascii="Times New Roman;Times;Serif" w:hAnsi="Times New Roman;Times;Serif"/>
                <w:sz w:val="20"/>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bookmarkStart w:id="364" w:name="xdx_90B_eus-gaap--ShareBasedCompensation"/>
            <w:bookmarkEnd w:id="364"/>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rFonts w:ascii="Times New Roman;Times;Serif" w:hAnsi="Times New Roman;Times;Serif"/>
              </w:rPr>
            </w:pPr>
            <w:bookmarkStart w:id="365" w:name="xdx_907_eus-gaap--ShareBasedCompensation"/>
            <w:bookmarkEnd w:id="365"/>
            <w:r>
              <w:rPr>
                <w:rFonts w:ascii="Times New Roman;Times;Serif" w:hAnsi="Times New Roman;Times;Serif"/>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bookmarkStart w:id="366" w:name="xdx_906_eus-gaap--ShareBasedCompensation"/>
            <w:bookmarkEnd w:id="366"/>
            <w:r>
              <w:rPr>
                <w:rFonts w:ascii="Times New Roman;Times;Serif" w:hAnsi="Times New Roman;Times;Serif"/>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bookmarkStart w:id="367" w:name="xdx_902_ecustom--ShareBasedCompensationA"/>
            <w:bookmarkEnd w:id="367"/>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rFonts w:ascii="Times New Roman;Times;Serif" w:hAnsi="Times New Roman;Times;Serif"/>
              </w:rPr>
            </w:pPr>
            <w:bookmarkStart w:id="368" w:name="xdx_901_ecustom--ShareBasedCompensationA"/>
            <w:bookmarkEnd w:id="368"/>
            <w:r>
              <w:rPr>
                <w:rFonts w:ascii="Times New Roman;Times;Serif" w:hAnsi="Times New Roman;Times;Serif"/>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bookmarkStart w:id="369" w:name="xdx_904_ecustom--ShareBasedCompensationA"/>
            <w:bookmarkEnd w:id="369"/>
            <w:r>
              <w:rPr>
                <w:rFonts w:ascii="Times New Roman;Times;Serif" w:hAnsi="Times New Roman;Times;Serif"/>
              </w:rPr>
              <w:t>0.46</w:t>
            </w:r>
          </w:p>
        </w:tc>
        <w:tc>
          <w:tcPr>
            <w:tcW w:w="82" w:type="dxa"/>
            <w:tcBorders/>
            <w:shd w:fill="CCEEFF" w:val="clear"/>
            <w:vAlign w:val="center"/>
          </w:tcPr>
          <w:p>
            <w:pPr>
              <w:pStyle w:val="TableContents"/>
              <w:bidi w:val="0"/>
              <w:spacing w:before="0" w:after="283"/>
              <w:jc w:val="left"/>
              <w:rPr/>
            </w:pPr>
            <w:r>
              <w:rPr/>
              <w:t> </w:t>
            </w:r>
          </w:p>
        </w:tc>
      </w:tr>
      <w:tr>
        <w:trPr/>
        <w:tc>
          <w:tcPr>
            <w:tcW w:w="190"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20"/>
              </w:rPr>
            </w:pPr>
            <w:bookmarkStart w:id="370" w:name="xdx_903_ecustom--ShareBasedCompensationS"/>
            <w:bookmarkEnd w:id="370"/>
            <w:r>
              <w:rPr>
                <w:rFonts w:ascii="Times New Roman;Times;Serif" w:hAnsi="Times New Roman;Times;Serif"/>
                <w:sz w:val="20"/>
              </w:rPr>
              <w:t xml:space="preserve">1.23 - </w:t>
            </w:r>
            <w:bookmarkStart w:id="371" w:name="xdx_90D_ecustom--ShareBasedCompensationS"/>
            <w:bookmarkEnd w:id="371"/>
            <w:r>
              <w:rPr>
                <w:rFonts w:ascii="Times New Roman;Times;Serif" w:hAnsi="Times New Roman;Times;Serif"/>
                <w:sz w:val="20"/>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Times;Serif" w:hAnsi="Times New Roman;Times;Serif"/>
              </w:rPr>
            </w:pPr>
            <w:bookmarkStart w:id="372" w:name="xdx_90E_eus-gaap--ShareBasedCompensation"/>
            <w:bookmarkEnd w:id="372"/>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rFonts w:ascii="Times New Roman;Times;Serif" w:hAnsi="Times New Roman;Times;Serif"/>
              </w:rPr>
            </w:pPr>
            <w:bookmarkStart w:id="373" w:name="xdx_90D_eus-gaap--ShareBasedCompensation"/>
            <w:bookmarkEnd w:id="373"/>
            <w:r>
              <w:rPr>
                <w:rFonts w:ascii="Times New Roman;Times;Serif" w:hAnsi="Times New Roman;Times;Serif"/>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bookmarkStart w:id="374" w:name="xdx_90E_eus-gaap--ShareBasedCompensation"/>
            <w:bookmarkEnd w:id="374"/>
            <w:r>
              <w:rPr>
                <w:rFonts w:ascii="Times New Roman;Times;Serif" w:hAnsi="Times New Roman;Times;Serif"/>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bookmarkStart w:id="375" w:name="xdx_90B_ecustom--ShareBasedCompensationA"/>
            <w:bookmarkEnd w:id="375"/>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rFonts w:ascii="Times New Roman;Times;Serif" w:hAnsi="Times New Roman;Times;Serif"/>
              </w:rPr>
            </w:pPr>
            <w:bookmarkStart w:id="376" w:name="xdx_904_ecustom--ShareBasedCompensationA"/>
            <w:bookmarkEnd w:id="376"/>
            <w:r>
              <w:rPr>
                <w:rFonts w:ascii="Times New Roman;Times;Serif" w:hAnsi="Times New Roman;Times;Serif"/>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bookmarkStart w:id="377" w:name="xdx_90B_ecustom--ShareBasedCompensationA"/>
            <w:bookmarkEnd w:id="377"/>
            <w:r>
              <w:rPr>
                <w:rFonts w:ascii="Times New Roman;Times;Serif" w:hAnsi="Times New Roman;Times;Serif"/>
              </w:rPr>
              <w:t>1.40</w:t>
            </w:r>
          </w:p>
        </w:tc>
        <w:tc>
          <w:tcPr>
            <w:tcW w:w="82" w:type="dxa"/>
            <w:tcBorders/>
            <w:shd w:fill="FFFFFF" w:val="clear"/>
            <w:vAlign w:val="center"/>
          </w:tcPr>
          <w:p>
            <w:pPr>
              <w:pStyle w:val="TableContents"/>
              <w:bidi w:val="0"/>
              <w:spacing w:before="0" w:after="283"/>
              <w:jc w:val="left"/>
              <w:rPr/>
            </w:pPr>
            <w:r>
              <w:rPr/>
              <w:t> </w:t>
            </w:r>
          </w:p>
        </w:tc>
      </w:tr>
      <w:tr>
        <w:trPr/>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78" w:name="xdx_90B_ecustom--ShareBasedCompensationS"/>
            <w:bookmarkEnd w:id="378"/>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79" w:name="xdx_902_eus-gaap--ShareBasedCompensation"/>
            <w:bookmarkEnd w:id="379"/>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0" w:name="xdx_90D_eus-gaap--ShareBasedCompensation"/>
            <w:bookmarkEnd w:id="380"/>
            <w:r>
              <w:rPr>
                <w:rFonts w:ascii="Times New Roman;Times;Serif" w:hAnsi="Times New Roman;Times;Serif"/>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1" w:name="xdx_909_eus-gaap--ShareBasedCompensation"/>
            <w:bookmarkEnd w:id="381"/>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2" w:name="xdx_909_ecustom--ShareBasedCompensationA"/>
            <w:bookmarkEnd w:id="382"/>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3" w:name="xdx_90E_ecustom--ShareBasedCompensationA"/>
            <w:bookmarkEnd w:id="383"/>
            <w:r>
              <w:rPr>
                <w:rFonts w:ascii="Times New Roman;Times;Serif" w:hAnsi="Times New Roman;Times;Serif"/>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4" w:name="xdx_902_ecustom--ShareBasedCompensationA"/>
            <w:bookmarkEnd w:id="384"/>
            <w:r>
              <w:rPr>
                <w:rFonts w:ascii="Times New Roman;Times;Serif" w:hAnsi="Times New Roman;Times;Serif"/>
              </w:rPr>
              <w:t>4.80</w:t>
            </w:r>
          </w:p>
        </w:tc>
        <w:tc>
          <w:tcPr>
            <w:tcW w:w="82" w:type="dxa"/>
            <w:tcBorders/>
            <w:shd w:fill="CCEEFF" w:val="clear"/>
            <w:vAlign w:val="center"/>
          </w:tcPr>
          <w:p>
            <w:pPr>
              <w:pStyle w:val="TableContents"/>
              <w:bidi w:val="0"/>
              <w:spacing w:before="0" w:after="283"/>
              <w:jc w:val="left"/>
              <w:rPr/>
            </w:pPr>
            <w:r>
              <w:rPr/>
              <w:t> </w:t>
            </w:r>
          </w:p>
        </w:tc>
      </w:tr>
      <w:tr>
        <w:trPr/>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385" w:name="xdx_90E_ecustom--ShareBasedCompensationS"/>
            <w:bookmarkEnd w:id="385"/>
            <w:r>
              <w:rPr>
                <w:rFonts w:ascii="Times New Roman;Times;Serif" w:hAnsi="Times New Roman;Times;Serif"/>
                <w:sz w:val="20"/>
              </w:rPr>
              <w:t xml:space="preserve">0.40 - </w:t>
            </w:r>
            <w:bookmarkStart w:id="386" w:name="xdx_908_ecustom--ShareBasedCompensationS"/>
            <w:bookmarkEnd w:id="386"/>
            <w:r>
              <w:rPr>
                <w:rFonts w:ascii="Times New Roman;Times;Serif" w:hAnsi="Times New Roman;Times;Serif"/>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87" w:name="xdx_906_eus-gaap--ShareBasedCompensation"/>
            <w:bookmarkEnd w:id="387"/>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88" w:name="xdx_90F_eus-gaap--ShareBasedCompensation"/>
            <w:bookmarkEnd w:id="388"/>
            <w:r>
              <w:rPr>
                <w:rFonts w:ascii="Times New Roman;Times;Serif" w:hAnsi="Times New Roman;Times;Serif"/>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89" w:name="xdx_902_eus-gaap--ShareBasedCompensation"/>
            <w:bookmarkEnd w:id="389"/>
            <w:r>
              <w:rPr>
                <w:rFonts w:ascii="Times New Roman;Times;Serif" w:hAnsi="Times New Roman;Times;Serif"/>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90" w:name="xdx_90A_ecustom--ShareBasedCompensationA"/>
            <w:bookmarkEnd w:id="390"/>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91" w:name="xdx_906_ecustom--ShareBasedCompensationA"/>
            <w:bookmarkEnd w:id="391"/>
            <w:r>
              <w:rPr>
                <w:rFonts w:ascii="Times New Roman;Times;Serif" w:hAnsi="Times New Roman;Times;Serif"/>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92" w:name="xdx_90A_ecustom--ShareBasedCompensationA"/>
            <w:bookmarkEnd w:id="392"/>
            <w:r>
              <w:rPr>
                <w:rFonts w:ascii="Times New Roman;Times;Serif" w:hAnsi="Times New Roman;Times;Serif"/>
              </w:rPr>
              <w:t>1.48</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3" w:name="xdx_8AC_zUYwyBvO7xqh"/>
      <w:bookmarkEnd w:id="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warrant grants during the six months ended June 30, 2026. In addition, there was </w:t>
      </w:r>
      <w:bookmarkStart w:id="394" w:name="xdx_90B_eus-gaap--ShareBasedCompensation"/>
      <w:bookmarkEnd w:id="394"/>
      <w:r>
        <w:rPr>
          <w:rFonts w:ascii="Times New Roman;Times;Serif" w:hAnsi="Times New Roman;Times;Serif"/>
          <w:b w:val="false"/>
          <w:i w:val="false"/>
          <w:caps w:val="false"/>
          <w:smallCaps w:val="false"/>
          <w:sz w:val="20"/>
        </w:rPr>
        <w:t>no intrinsic value for warrant shares outstanding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395" w:name="xdx_800_eus-gaap--CommitmentsAndContinge"/>
      <w:bookmarkEnd w:id="395"/>
      <w:r>
        <w:rPr>
          <w:rFonts w:ascii="Times New Roman;Times;Serif" w:hAnsi="Times New Roman;Times;Serif"/>
          <w:b/>
          <w:i w:val="false"/>
          <w:caps w:val="false"/>
          <w:smallCaps w:val="false"/>
          <w:sz w:val="20"/>
        </w:rPr>
        <w:t xml:space="preserve">NOTE 6 – </w:t>
      </w:r>
      <w:bookmarkStart w:id="396" w:name="xdx_822_z9cnOeLfVUzi"/>
      <w:bookmarkEnd w:id="39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Exclusive License Agreements with Cedars-Sinai Medical Center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four Exclusive License Agreements with Cedars, each of which grants the Company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1, 2 and 3, the Company was required to pay an initial license fee of $</w:t>
      </w:r>
      <w:bookmarkStart w:id="397" w:name="xdx_90E_ecustom--LicenseFee_pn3n3_c20260"/>
      <w:bookmarkEnd w:id="397"/>
      <w:r>
        <w:rPr>
          <w:rFonts w:ascii="Times New Roman;Times;Serif" w:hAnsi="Times New Roman;Times;Serif"/>
          <w:b w:val="false"/>
          <w:i w:val="false"/>
          <w:caps w:val="false"/>
          <w:smallCaps w:val="false"/>
          <w:sz w:val="20"/>
        </w:rPr>
        <w:t>5, reimburse Cedars for patent protection costs ranging from approximately $</w:t>
      </w:r>
      <w:bookmarkStart w:id="398" w:name="xdx_90E_ecustom--PatentProtectionCosts_p"/>
      <w:bookmarkEnd w:id="398"/>
      <w:r>
        <w:rPr>
          <w:rFonts w:ascii="Times New Roman;Times;Serif" w:hAnsi="Times New Roman;Times;Serif"/>
          <w:b w:val="false"/>
          <w:i w:val="false"/>
          <w:caps w:val="false"/>
          <w:smallCaps w:val="false"/>
          <w:sz w:val="20"/>
        </w:rPr>
        <w:t>9 to $</w:t>
      </w:r>
      <w:bookmarkStart w:id="399" w:name="xdx_902_ecustom--PatentProtectionCosts_p"/>
      <w:bookmarkEnd w:id="399"/>
      <w:r>
        <w:rPr>
          <w:rFonts w:ascii="Times New Roman;Times;Serif" w:hAnsi="Times New Roman;Times;Serif"/>
          <w:b w:val="false"/>
          <w:i w:val="false"/>
          <w:caps w:val="false"/>
          <w:smallCaps w:val="false"/>
          <w:sz w:val="20"/>
        </w:rPr>
        <w:t>61, pay an annual maintenance fee of $</w:t>
      </w:r>
      <w:bookmarkStart w:id="400" w:name="xdx_906_eus-gaap--CostMaintenance_pn3n3_"/>
      <w:bookmarkEnd w:id="400"/>
      <w:r>
        <w:rPr>
          <w:rFonts w:ascii="Times New Roman;Times;Serif" w:hAnsi="Times New Roman;Times;Serif"/>
          <w:b w:val="false"/>
          <w:i w:val="false"/>
          <w:caps w:val="false"/>
          <w:smallCaps w:val="false"/>
          <w:sz w:val="20"/>
        </w:rPr>
        <w:t xml:space="preserve">10, and pay royalties based on </w:t>
      </w:r>
      <w:bookmarkStart w:id="401" w:name="xdx_906_ecustom--RoyaltyPercentage_pid_d"/>
      <w:bookmarkEnd w:id="401"/>
      <w:r>
        <w:rPr>
          <w:rFonts w:ascii="Times New Roman;Times;Serif" w:hAnsi="Times New Roman;Times;Serif"/>
          <w:b w:val="false"/>
          <w:i w:val="false"/>
          <w:caps w:val="false"/>
          <w:smallCaps w:val="false"/>
          <w:sz w:val="20"/>
        </w:rPr>
        <w:t xml:space="preserve">3.75% of net sales and pay other non-royalty sublicense fees ranging from </w:t>
      </w:r>
      <w:bookmarkStart w:id="402" w:name="xdx_904_ecustom--OtherNonroyaltySublicen"/>
      <w:bookmarkEnd w:id="402"/>
      <w:r>
        <w:rPr>
          <w:rFonts w:ascii="Times New Roman;Times;Serif" w:hAnsi="Times New Roman;Times;Serif"/>
          <w:b w:val="false"/>
          <w:i w:val="false"/>
          <w:caps w:val="false"/>
          <w:smallCaps w:val="false"/>
          <w:sz w:val="20"/>
        </w:rPr>
        <w:t xml:space="preserve">5% to </w:t>
      </w:r>
      <w:bookmarkStart w:id="403" w:name="xdx_902_ecustom--OtherNonroyaltySublicen"/>
      <w:bookmarkEnd w:id="403"/>
      <w:r>
        <w:rPr>
          <w:rFonts w:ascii="Times New Roman;Times;Serif" w:hAnsi="Times New Roman;Times;Serif"/>
          <w:b w:val="false"/>
          <w:i w:val="false"/>
          <w:caps w:val="false"/>
          <w:smallCaps w:val="false"/>
          <w:sz w:val="20"/>
        </w:rPr>
        <w:t>35% of sales of products. In addition, for items 1, 2 and 3,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4" w:name="xdx_90F_ecustom--PaymentForMilestones_pn"/>
            <w:bookmarkEnd w:id="404"/>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5" w:name="xdx_906_ecustom--PaymentForMilestones_pn"/>
            <w:bookmarkEnd w:id="405"/>
            <w:r>
              <w:rPr>
                <w:rFonts w:ascii="Times New Roman;Times;Serif" w:hAnsi="Times New Roman;Times;Serif"/>
                <w:b w:val="false"/>
                <w:i w:val="false"/>
                <w:caps w:val="false"/>
                <w:smallCaps w:val="false"/>
                <w:sz w:val="20"/>
              </w:rPr>
              <w:t>250 (for items 1 and 2) and $</w:t>
            </w:r>
            <w:bookmarkStart w:id="406" w:name="xdx_908_ecustom--PaymentForMilestones_pn"/>
            <w:bookmarkEnd w:id="406"/>
            <w:r>
              <w:rPr>
                <w:rFonts w:ascii="Times New Roman;Times;Serif" w:hAnsi="Times New Roman;Times;Serif"/>
                <w:b w:val="false"/>
                <w:i w:val="false"/>
                <w:caps w:val="false"/>
                <w:smallCaps w:val="false"/>
                <w:sz w:val="20"/>
              </w:rPr>
              <w:t>500 (for item 3) upon the successful completing of Phase II clinical trial for a product and receipt of Food and Drug Administration (“FDA”)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7" w:name="xdx_907_ecustom--PaymentForMilestones_pn"/>
            <w:bookmarkEnd w:id="407"/>
            <w:r>
              <w:rPr>
                <w:rFonts w:ascii="Times New Roman;Times;Serif" w:hAnsi="Times New Roman;Times;Serif"/>
                <w:b w:val="false"/>
                <w:i w:val="false"/>
                <w:caps w:val="false"/>
                <w:smallCaps w:val="false"/>
                <w:sz w:val="20"/>
              </w:rPr>
              <w:t>1,500 upon receipt of FDA approval of a new drug application or equivalent foreign regulatory approval in a non-United States major commercial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8" w:name="xdx_908_ecustom--PaymentForMilestones_pn"/>
            <w:bookmarkEnd w:id="408"/>
            <w:r>
              <w:rPr>
                <w:rFonts w:ascii="Times New Roman;Times;Serif" w:hAnsi="Times New Roman;Times;Serif"/>
                <w:b w:val="false"/>
                <w:i w:val="false"/>
                <w:caps w:val="false"/>
                <w:smallCaps w:val="false"/>
                <w:sz w:val="20"/>
              </w:rPr>
              <w:t>250 upon cumulative net sales exceeding $</w:t>
            </w:r>
            <w:bookmarkStart w:id="409" w:name="xdx_908_eus-gaap--Revenues_pn3n3_c202601"/>
            <w:bookmarkEnd w:id="409"/>
            <w:r>
              <w:rPr>
                <w:rFonts w:ascii="Times New Roman;Times;Serif" w:hAnsi="Times New Roman;Times;Serif"/>
                <w:b w:val="false"/>
                <w:i w:val="false"/>
                <w:caps w:val="false"/>
                <w:smallCaps w:val="false"/>
                <w:sz w:val="20"/>
              </w:rPr>
              <w:t>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4, the Company is required to pay an initial license fee of $</w:t>
      </w:r>
      <w:bookmarkStart w:id="410" w:name="xdx_90E_ecustom--LicenseFee_pn3n3_c20260"/>
      <w:bookmarkEnd w:id="410"/>
      <w:r>
        <w:rPr>
          <w:rFonts w:ascii="Times New Roman;Times;Serif" w:hAnsi="Times New Roman;Times;Serif"/>
          <w:b w:val="false"/>
          <w:i w:val="false"/>
          <w:caps w:val="false"/>
          <w:smallCaps w:val="false"/>
          <w:sz w:val="20"/>
        </w:rPr>
        <w:t>50 upon raising $</w:t>
      </w:r>
      <w:bookmarkStart w:id="411" w:name="xdx_901_ecustom--MinimumRequirermentOfCa"/>
      <w:bookmarkEnd w:id="411"/>
      <w:r>
        <w:rPr>
          <w:rFonts w:ascii="Times New Roman;Times;Serif" w:hAnsi="Times New Roman;Times;Serif"/>
          <w:b w:val="false"/>
          <w:i w:val="false"/>
          <w:caps w:val="false"/>
          <w:smallCaps w:val="false"/>
          <w:sz w:val="20"/>
        </w:rPr>
        <w:t>500 in capital, pay an annual maintenance fee of $</w:t>
      </w:r>
      <w:bookmarkStart w:id="412" w:name="xdx_90D_eus-gaap--CostMaintenance_pn3n3_"/>
      <w:bookmarkEnd w:id="412"/>
      <w:r>
        <w:rPr>
          <w:rFonts w:ascii="Times New Roman;Times;Serif" w:hAnsi="Times New Roman;Times;Serif"/>
          <w:b w:val="false"/>
          <w:i w:val="false"/>
          <w:caps w:val="false"/>
          <w:smallCaps w:val="false"/>
          <w:sz w:val="20"/>
        </w:rPr>
        <w:t xml:space="preserve">10, pay royalties based on </w:t>
      </w:r>
      <w:bookmarkStart w:id="413" w:name="xdx_905_ecustom--RoyaltyPercentage_pid_d"/>
      <w:bookmarkEnd w:id="413"/>
      <w:r>
        <w:rPr>
          <w:rFonts w:ascii="Times New Roman;Times;Serif" w:hAnsi="Times New Roman;Times;Serif"/>
          <w:b w:val="false"/>
          <w:i w:val="false"/>
          <w:caps w:val="false"/>
          <w:smallCaps w:val="false"/>
          <w:sz w:val="20"/>
        </w:rPr>
        <w:t xml:space="preserve">4.25% of patent product sales and </w:t>
      </w:r>
      <w:bookmarkStart w:id="414" w:name="xdx_90E_ecustom--PatentProductSalesPerce"/>
      <w:bookmarkEnd w:id="414"/>
      <w:r>
        <w:rPr>
          <w:rFonts w:ascii="Times New Roman;Times;Serif" w:hAnsi="Times New Roman;Times;Serif"/>
          <w:b w:val="false"/>
          <w:i w:val="false"/>
          <w:caps w:val="false"/>
          <w:smallCaps w:val="false"/>
          <w:sz w:val="20"/>
        </w:rPr>
        <w:t xml:space="preserve">0.5% of other sales and pay other non-royalty sublicense fees ranging from </w:t>
      </w:r>
      <w:bookmarkStart w:id="415" w:name="xdx_90C_ecustom--OtherNonroyaltySublicen"/>
      <w:bookmarkEnd w:id="415"/>
      <w:r>
        <w:rPr>
          <w:rFonts w:ascii="Times New Roman;Times;Serif" w:hAnsi="Times New Roman;Times;Serif"/>
          <w:b w:val="false"/>
          <w:i w:val="false"/>
          <w:caps w:val="false"/>
          <w:smallCaps w:val="false"/>
          <w:sz w:val="20"/>
        </w:rPr>
        <w:t xml:space="preserve">5% to </w:t>
      </w:r>
      <w:bookmarkStart w:id="416" w:name="xdx_901_ecustom--OtherNonroyaltySublicen"/>
      <w:bookmarkEnd w:id="416"/>
      <w:r>
        <w:rPr>
          <w:rFonts w:ascii="Times New Roman;Times;Serif" w:hAnsi="Times New Roman;Times;Serif"/>
          <w:b w:val="false"/>
          <w:i w:val="false"/>
          <w:caps w:val="false"/>
          <w:smallCaps w:val="false"/>
          <w:sz w:val="20"/>
        </w:rPr>
        <w:t>35%. In addition,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7" w:name="xdx_90B_ecustom--PaymentForMilestones_pn"/>
            <w:bookmarkEnd w:id="417"/>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8" w:name="xdx_908_ecustom--PaymentForMilestones_pn"/>
            <w:bookmarkEnd w:id="418"/>
            <w:r>
              <w:rPr>
                <w:rFonts w:ascii="Times New Roman;Times;Serif" w:hAnsi="Times New Roman;Times;Serif"/>
                <w:b w:val="false"/>
                <w:i w:val="false"/>
                <w:caps w:val="false"/>
                <w:smallCaps w:val="false"/>
                <w:sz w:val="20"/>
              </w:rPr>
              <w:t>250 upon the successful completing of Phase II clinical trial and receipt of Food and Drug Administration (“FDA”) or equivalent regulatory agency in another jurisdiction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9" w:name="xdx_90A_ecustom--PaymentForMilestones_pn"/>
            <w:bookmarkEnd w:id="419"/>
            <w:r>
              <w:rPr>
                <w:rFonts w:ascii="Times New Roman;Times;Serif" w:hAnsi="Times New Roman;Times;Serif"/>
                <w:b w:val="false"/>
                <w:i w:val="false"/>
                <w:caps w:val="false"/>
                <w:smallCaps w:val="false"/>
                <w:sz w:val="20"/>
              </w:rPr>
              <w:t>1,500 upon receipt of FDA approval of a new drug application;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0" w:name="xdx_90D_ecustom--PaymentForMilestones_pn"/>
            <w:bookmarkEnd w:id="420"/>
            <w:r>
              <w:rPr>
                <w:rFonts w:ascii="Times New Roman;Times;Serif" w:hAnsi="Times New Roman;Times;Serif"/>
                <w:b w:val="false"/>
                <w:i w:val="false"/>
                <w:caps w:val="false"/>
                <w:smallCaps w:val="false"/>
                <w:sz w:val="20"/>
              </w:rPr>
              <w:t>2,500 upon cumulative net sales exceeding $</w:t>
            </w:r>
            <w:bookmarkStart w:id="421" w:name="xdx_901_eus-gaap--Revenues_pn3n3_c202601"/>
            <w:bookmarkEnd w:id="421"/>
            <w:r>
              <w:rPr>
                <w:rFonts w:ascii="Times New Roman;Times;Serif" w:hAnsi="Times New Roman;Times;Serif"/>
                <w:b w:val="false"/>
                <w:i w:val="false"/>
                <w:caps w:val="false"/>
                <w:smallCaps w:val="false"/>
                <w:sz w:val="20"/>
              </w:rPr>
              <w:t>50,000.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 amounts were due under the Exclusive License Agreements between Cedars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Enviro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w:t>
      </w:r>
      <w:bookmarkStart w:id="422" w:name="xdx_903_eus-gaap--Revenues_pn3n3_c202601"/>
      <w:bookmarkEnd w:id="422"/>
      <w:r>
        <w:rPr>
          <w:rFonts w:ascii="Times New Roman;Times;Serif" w:hAnsi="Times New Roman;Times;Serif"/>
          <w:b w:val="false"/>
          <w:i w:val="false"/>
          <w:caps w:val="false"/>
          <w:smallCaps w:val="false"/>
          <w:sz w:val="20"/>
        </w:rPr>
        <w:t>50,000; and cumulative net sales exceeding $</w:t>
      </w:r>
      <w:bookmarkStart w:id="423" w:name="xdx_902_eus-gaap--Revenues_pn3n3_c202601"/>
      <w:bookmarkEnd w:id="423"/>
      <w:r>
        <w:rPr>
          <w:rFonts w:ascii="Times New Roman;Times;Serif" w:hAnsi="Times New Roman;Times;Serif"/>
          <w:b w:val="false"/>
          <w:i w:val="false"/>
          <w:caps w:val="false"/>
          <w:smallCaps w:val="false"/>
          <w:sz w:val="20"/>
        </w:rPr>
        <w:t>100,000. If all of these payment milestones are met among both of the Exclusive License Agreements, the required milestone payments would total in the mid-to-high seven-figures.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Exclusive License Agreements, Enviro was obligated to meet the following Commercialization Milestones. Pursuant to the Enviro-Cedars License Agreement (Endoglin Antagonism), Enviro was obligated to </w:t>
      </w:r>
      <w:bookmarkStart w:id="424" w:name="xdx_90C_ecustom--LicenseAgreementDescrip"/>
      <w:bookmarkEnd w:id="424"/>
      <w:r>
        <w:rPr>
          <w:rFonts w:ascii="Times New Roman;Times;Serif" w:hAnsi="Times New Roman;Times;Serif"/>
          <w:b w:val="false"/>
          <w:i w:val="false"/>
          <w:caps w:val="false"/>
          <w:smallCaps w:val="false"/>
          <w:sz w:val="20"/>
        </w:rPr>
        <w:t>(1)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Novation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October 1, 2025, the Board approved the Company’s entry into a novation agreement (the “Tracon Novation Agreement”) with Tracon Pharmaceuticals, Inc. (the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Agreements with Lonza Sales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w:t>
      </w:r>
      <w:bookmarkStart w:id="425" w:name="xdx_900_eus-gaap--PaymentsToAcquireProdu"/>
      <w:bookmarkEnd w:id="425"/>
      <w:r>
        <w:rPr>
          <w:rFonts w:ascii="Times New Roman;Times;Serif" w:hAnsi="Times New Roman;Times;Serif"/>
          <w:b w:val="false"/>
          <w:i w:val="false"/>
          <w:caps w:val="false"/>
          <w:smallCaps w:val="false"/>
          <w:sz w:val="20"/>
        </w:rPr>
        <w:t>1,143 in consideration, which will be paid over time as each of the 13 stages of the Lonza Amendment are completed.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an additional statement of work to the sales agreement with Lonza pursuant to which the Company agreed to pay an additional amount of approximately $</w:t>
      </w:r>
      <w:bookmarkStart w:id="426" w:name="xdx_909_eus-gaap--PaymentsToAcquireProdu"/>
      <w:bookmarkEnd w:id="426"/>
      <w:r>
        <w:rPr>
          <w:rFonts w:ascii="Times New Roman;Times;Serif" w:hAnsi="Times New Roman;Times;Serif"/>
          <w:b w:val="false"/>
          <w:i w:val="false"/>
          <w:caps w:val="false"/>
          <w:smallCaps w:val="false"/>
          <w:sz w:val="20"/>
        </w:rPr>
        <w:t>2,000, which will also be paid over time as each of the 13 stages of the Lonza Amendment are completed. As of June 30, 2026, Lonza’s testing and preparation of the ENV105 antibody had begun but had yet to be completed and the Company had yet to make any payments to Lonza. During the six months ended June 30, 2026, the Company made a payment of $</w:t>
      </w:r>
      <w:bookmarkStart w:id="427" w:name="xdx_900_eus-gaap--PaymentsToAcquireOther"/>
      <w:bookmarkEnd w:id="427"/>
      <w:r>
        <w:rPr>
          <w:rFonts w:ascii="Times New Roman;Times;Serif" w:hAnsi="Times New Roman;Times;Serif"/>
          <w:b w:val="false"/>
          <w:i w:val="false"/>
          <w:caps w:val="false"/>
          <w:smallCaps w:val="false"/>
          <w:sz w:val="20"/>
        </w:rPr>
        <w:t>193 to Lonza under the amended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Brammer Bio MA,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entered into a Pharmaceutical Development Services Agreement with Brammer Bio MA, LLC (“Patheon”), under which Patheon agrees to transfer and manufacture clinical supply of ENV-105 sterile liquid vials in compliance with applicable regulations and cGMP to support Phase II clinical trials. The agreement also covers related analytical and microbiology methods, stability studies, and regulatory support, and includes customary terms on confidentiality, intellectual property ownership, quality audits, fees and cancellation, term, and termination. The total amount committed by the Company under the agreement is $</w:t>
      </w:r>
      <w:bookmarkStart w:id="428" w:name="xdx_90F_eus-gaap--PurchaseCommitmentRema"/>
      <w:bookmarkEnd w:id="428"/>
      <w:r>
        <w:rPr>
          <w:rFonts w:ascii="Times New Roman;Times;Serif" w:hAnsi="Times New Roman;Times;Serif"/>
          <w:b w:val="false"/>
          <w:i w:val="false"/>
          <w:caps w:val="false"/>
          <w:smallCaps w:val="false"/>
          <w:sz w:val="20"/>
        </w:rPr>
        <w:t>783.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Agreement with Celyn Therapeutics,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Company entered into a binding term sheet with Celyn Therapeutics, Inc., a privately held biotechnology company (“Celyn”),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w:t>
      </w:r>
      <w:bookmarkStart w:id="429" w:name="xdx_90E_eus-gaap--AccountsPayableTradeCu"/>
      <w:bookmarkEnd w:id="429"/>
      <w:r>
        <w:rPr>
          <w:rFonts w:ascii="Times New Roman;Times;Serif" w:hAnsi="Times New Roman;Times;Serif"/>
          <w:b w:val="false"/>
          <w:i w:val="false"/>
          <w:caps w:val="false"/>
          <w:smallCaps w:val="false"/>
          <w:sz w:val="20"/>
        </w:rPr>
        <w:t xml:space="preserve">15 million payable at NDA or BLA FDA, with such payment to be made in combination of cash and stock and (ii) </w:t>
      </w:r>
      <w:bookmarkStart w:id="430" w:name="xdx_909_ecustom--RoyaltyPercentage_dp_c2"/>
      <w:bookmarkEnd w:id="430"/>
      <w:r>
        <w:rPr>
          <w:rFonts w:ascii="Times New Roman;Times;Serif" w:hAnsi="Times New Roman;Times;Serif"/>
          <w:b w:val="false"/>
          <w:i w:val="false"/>
          <w:caps w:val="false"/>
          <w:smallCaps w:val="false"/>
          <w:sz w:val="20"/>
        </w:rPr>
        <w:t>2% royalties from net revenue generated from sales in the U.S. for the life of the intellectual property. As of June 30, 2026, the CL-273 asset acquisition was no longer under negotiation.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it is not currently the subject of any material legal proceeding. In the future, however, the Company may be involved in actual and/or threatened legal proceedings, claims, investigations and government inquiries arising in the ordinary course of our business, including legal proceedings, claims, investigations and government inquiries involving intellectual property, data privacy and security, other torts, illegal or objectionable content, consumer protection, securities, employment, contractual rights, civil rights infringement, false or misleading advertising, or other legal claims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1" w:name="xdx_805_eus-gaap--SegmentReportingDisclo"/>
      <w:bookmarkEnd w:id="431"/>
      <w:r>
        <w:rPr>
          <w:rFonts w:ascii="Times New Roman;Times;Serif" w:hAnsi="Times New Roman;Times;Serif"/>
          <w:b/>
          <w:i w:val="false"/>
          <w:caps w:val="false"/>
          <w:smallCaps w:val="false"/>
          <w:sz w:val="20"/>
        </w:rPr>
        <w:t xml:space="preserve">NOTE 7 – </w:t>
      </w:r>
      <w:bookmarkStart w:id="432" w:name="xdx_828_zSYnp9PPa029"/>
      <w:bookmarkEnd w:id="432"/>
      <w:r>
        <w:rPr>
          <w:rFonts w:ascii="Times New Roman;Times;Serif" w:hAnsi="Times New Roman;Times;Serif"/>
          <w:b/>
          <w:i w:val="false"/>
          <w:caps w:val="false"/>
          <w:smallCaps w:val="false"/>
          <w:sz w:val="20"/>
        </w:rPr>
        <w:t xml:space="preserve">SEGMENT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as </w:t>
      </w:r>
      <w:bookmarkStart w:id="433" w:name="xdx_90B_eus-gaap--NumberOfReportableSegm"/>
      <w:bookmarkEnd w:id="433"/>
      <w:r>
        <w:rPr>
          <w:rFonts w:ascii="Times New Roman;Times;Serif" w:hAnsi="Times New Roman;Times;Serif"/>
          <w:b w:val="false"/>
          <w:i w:val="false"/>
          <w:caps w:val="false"/>
          <w:smallCaps w:val="false"/>
          <w:sz w:val="20"/>
        </w:rPr>
        <w:t>one reportable segment and operates as a clinical-stage biopharmaceutical company. The Company’s current focus is on developing immunotherapy and cell therapies for the treatment of cancer. The Company’s Chief Operating Decision Maker (“CODM”) is the Chief Executive Officer, who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4" w:name="xdx_892_eus-gaap--ScheduleOfSegmentRepor"/>
      <w:bookmarkEnd w:id="434"/>
      <w:r>
        <w:rPr>
          <w:rFonts w:ascii="Times New Roman;Times;Serif" w:hAnsi="Times New Roman;Times;Serif"/>
          <w:b w:val="false"/>
          <w:i w:val="false"/>
          <w:caps w:val="false"/>
          <w:smallCaps w:val="false"/>
          <w:sz w:val="20"/>
        </w:rPr>
        <w:t>Significant segment expenses include research and development, officer compensation,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5" w:name="xdx_8BF_zeDPDhWx77Ra"/>
      <w:bookmarkEnd w:id="435"/>
      <w:r>
        <w:rPr>
          <w:rFonts w:ascii="Times New Roman;Times;Serif" w:hAnsi="Times New Roman;Times;Serif"/>
          <w:b w:val="false"/>
          <w:i w:val="false"/>
          <w:caps w:val="false"/>
          <w:smallCaps w:val="false"/>
          <w:sz w:val="20"/>
        </w:rPr>
        <w:t>SCHEDULE OF SEGMENT EXPENSES </w:t>
      </w:r>
    </w:p>
    <w:tbl>
      <w:tblPr>
        <w:tblW w:w="7992" w:type="dxa"/>
        <w:jc w:val="left"/>
        <w:tblInd w:w="0" w:type="dxa"/>
        <w:tblLayout w:type="fixed"/>
        <w:tblCellMar>
          <w:top w:w="0" w:type="dxa"/>
          <w:left w:w="0" w:type="dxa"/>
          <w:bottom w:w="0" w:type="dxa"/>
          <w:right w:w="0" w:type="dxa"/>
        </w:tblCellMar>
      </w:tblPr>
      <w:tblGrid>
        <w:gridCol w:w="5090"/>
        <w:gridCol w:w="60"/>
        <w:gridCol w:w="224"/>
        <w:gridCol w:w="1018"/>
        <w:gridCol w:w="152"/>
        <w:gridCol w:w="96"/>
        <w:gridCol w:w="224"/>
        <w:gridCol w:w="1018"/>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E_20260101__20260630__srt--Consoli"/>
            <w:bookmarkEnd w:id="436"/>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437" w:name="xdx_492_20250101__20250630__srt--Consoli"/>
            <w:bookmarkEnd w:id="437"/>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438" w:name="xdx_40A_eus-gaap--Revenues_pn3n3_zjNgBfo"/>
            <w:bookmarkEnd w:id="43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8" w:type="dxa"/>
            <w:tcBorders/>
            <w:shd w:fill="CCEEFF" w:val="clear"/>
            <w:vAlign w:val="center"/>
          </w:tcPr>
          <w:p>
            <w:pPr>
              <w:pStyle w:val="TableContents"/>
              <w:bidi w:val="0"/>
              <w:spacing w:before="0" w:after="283"/>
              <w:jc w:val="right"/>
              <w:rPr/>
            </w:pPr>
            <w:r>
              <w:rPr/>
              <w:t>—</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Less: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9" w:name="xdx_40C_eus-gaap--ResearchAndDevelopment"/>
            <w:bookmarkEnd w:id="439"/>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less officer compensation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w:t>
            </w:r>
          </w:p>
        </w:tc>
        <w:tc>
          <w:tcPr>
            <w:tcW w:w="110" w:type="dxa"/>
            <w:tcBorders/>
            <w:shd w:fill="FFFFFF" w:val="clear"/>
            <w:vAlign w:val="center"/>
          </w:tcPr>
          <w:p>
            <w:pPr>
              <w:pStyle w:val="TableContents"/>
              <w:bidi w:val="0"/>
              <w:spacing w:before="0" w:after="283"/>
              <w:jc w:val="left"/>
              <w:rPr/>
            </w:pPr>
            <w:r>
              <w:rPr/>
              <w:t> </w:t>
            </w:r>
            <w:bookmarkStart w:id="440" w:name="xdx_404_eus-gaap--OfficersCompensation_p"/>
            <w:bookmarkEnd w:id="440"/>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compensation and wages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110" w:type="dxa"/>
            <w:tcBorders/>
            <w:shd w:fill="CCEEFF" w:val="clear"/>
            <w:vAlign w:val="center"/>
          </w:tcPr>
          <w:p>
            <w:pPr>
              <w:pStyle w:val="TableContents"/>
              <w:bidi w:val="0"/>
              <w:spacing w:before="0" w:after="283"/>
              <w:jc w:val="left"/>
              <w:rPr/>
            </w:pPr>
            <w:r>
              <w:rPr/>
              <w:t> </w:t>
            </w:r>
            <w:bookmarkStart w:id="441" w:name="xdx_403_eus-gaap--InsuranceRecoveries_pn"/>
            <w:bookmarkEnd w:id="441"/>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0" w:type="dxa"/>
            <w:tcBorders/>
            <w:shd w:fill="FFFFFF" w:val="clear"/>
            <w:vAlign w:val="center"/>
          </w:tcPr>
          <w:p>
            <w:pPr>
              <w:pStyle w:val="TableContents"/>
              <w:bidi w:val="0"/>
              <w:spacing w:before="0" w:after="283"/>
              <w:jc w:val="left"/>
              <w:rPr/>
            </w:pPr>
            <w:r>
              <w:rPr/>
              <w:t> </w:t>
            </w:r>
            <w:bookmarkStart w:id="442" w:name="xdx_40E_eus-gaap--AllocatedShareBasedCom"/>
            <w:bookmarkEnd w:id="44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110" w:type="dxa"/>
            <w:tcBorders/>
            <w:shd w:fill="CCEEFF" w:val="clear"/>
            <w:vAlign w:val="center"/>
          </w:tcPr>
          <w:p>
            <w:pPr>
              <w:pStyle w:val="TableContents"/>
              <w:bidi w:val="0"/>
              <w:spacing w:before="0" w:after="283"/>
              <w:jc w:val="left"/>
              <w:rPr/>
            </w:pPr>
            <w:r>
              <w:rPr/>
              <w:t> </w:t>
            </w:r>
            <w:bookmarkStart w:id="443" w:name="xdx_401_eus-gaap--OperatingExpenses_pn3n"/>
            <w:bookmarkEnd w:id="443"/>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w:t>
            </w:r>
          </w:p>
        </w:tc>
        <w:tc>
          <w:tcPr>
            <w:tcW w:w="110" w:type="dxa"/>
            <w:tcBorders/>
            <w:shd w:fill="FFFFFF" w:val="clear"/>
            <w:vAlign w:val="center"/>
          </w:tcPr>
          <w:p>
            <w:pPr>
              <w:pStyle w:val="TableContents"/>
              <w:bidi w:val="0"/>
              <w:spacing w:before="0" w:after="283"/>
              <w:jc w:val="left"/>
              <w:rPr/>
            </w:pPr>
            <w:r>
              <w:rPr/>
              <w:t> </w:t>
            </w:r>
            <w:bookmarkStart w:id="444" w:name="xdx_409_eus-gaap--OtherOperatingIncomeEx"/>
            <w:bookmarkEnd w:id="44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bookmarkStart w:id="445" w:name="xdx_403_eus-gaap--NetIncomeLoss_pn3n3_zc"/>
            <w:bookmarkEnd w:id="44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446" w:name="xdx_8AA_zDeVGpIlwEb2"/>
      <w:bookmarkEnd w:id="4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7" w:name="xdx_807_eus-gaap--SubsequentEventsTextBl"/>
      <w:bookmarkEnd w:id="447"/>
      <w:r>
        <w:rPr>
          <w:rFonts w:ascii="Times New Roman;Times;Serif" w:hAnsi="Times New Roman;Times;Serif"/>
          <w:b/>
          <w:i w:val="false"/>
          <w:caps w:val="false"/>
          <w:smallCaps w:val="false"/>
          <w:sz w:val="20"/>
        </w:rPr>
        <w:t xml:space="preserve">NOTE 8 – </w:t>
      </w:r>
      <w:bookmarkStart w:id="448" w:name="xdx_823_zdKMWsp9TRLk"/>
      <w:bookmarkEnd w:id="448"/>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raised gross proceeds of $</w:t>
      </w:r>
      <w:bookmarkStart w:id="449" w:name="xdx_90D_eus-gaap--SaleOfStockConsiderati"/>
      <w:bookmarkEnd w:id="449"/>
      <w:r>
        <w:rPr>
          <w:rFonts w:ascii="Times New Roman;Times;Serif" w:hAnsi="Times New Roman;Times;Serif"/>
          <w:b w:val="false"/>
          <w:i w:val="false"/>
          <w:caps w:val="false"/>
          <w:smallCaps w:val="false"/>
          <w:sz w:val="20"/>
        </w:rPr>
        <w:t xml:space="preserve">911 through the sale of </w:t>
      </w:r>
      <w:bookmarkStart w:id="450" w:name="xdx_904_eus-gaap--SaleOfStockNumberOfSha"/>
      <w:bookmarkEnd w:id="450"/>
      <w:r>
        <w:rPr>
          <w:rFonts w:ascii="Times New Roman;Times;Serif" w:hAnsi="Times New Roman;Times;Serif"/>
          <w:b w:val="false"/>
          <w:i w:val="false"/>
          <w:caps w:val="false"/>
          <w:smallCaps w:val="false"/>
          <w:sz w:val="20"/>
        </w:rPr>
        <w:t>2,359,326 shares of its common stock under the ATM Offering.</w:t>
      </w:r>
    </w:p>
    <w:p>
      <w:pPr>
        <w:pStyle w:val="TextBody"/>
        <w:bidi w:val="0"/>
        <w:spacing w:before="0" w:after="0"/>
        <w:ind w:left="0" w:right="0" w:hanging="0"/>
        <w:jc w:val="both"/>
        <w:rPr>
          <w:caps w:val="false"/>
          <w:smallCaps w:val="false"/>
        </w:rPr>
      </w:pPr>
      <w:bookmarkStart w:id="451" w:name="xdx_81D_zZqkobXXhGAh"/>
      <w:bookmarkEnd w:id="45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2" w:name="a_008"/>
      <w:bookmarkEnd w:id="45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(the “MD&amp;A”) together with our unaudited consolidated financial statements and related notes appearing in Part I, Item 1 of this Quarterly Report on Form 10-Q (the “Quarterly Report”), and with our audited financial statements and notes thereto for the year ended December 31, 2025, included in our annual report on Form 10-K filed with the Securities Exchange Commission (the “SEC”) on March 31, 2026 (the “2025 Annual Report”)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Kairos Pharma, Ltd. may be referred to herein as “Kairos Pharma,” “the Company,”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addition to historical information, some of the statements contained in this discussion and analysis or set forth elsewhere in this Quarterly Report, including information with respect to our plans and strategy for our business, constitute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any projections about future events. The following information and any forward-looking statements should be considered in light of factors discussed elsewhere in this Quarterly Report, the “Risk Factor” section in the 2025 Annual Report, and in our other filings with the Securities Exchange Commission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Statements made herein are as of the date of the filing of this Quarterly Report with the SEC and should not be relied upon as of any subsequent date.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is a clinical-stage biopharmaceutical company advancing therapeutics for cancer patients that are designed to overcome key hurdles in immune suppression and drug resistance.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advance our portfolio of innovative therapeutics to reverse key mechanisms of therapeutic resistance and immune suppression and transform the way cancer is treated. We have leveraged molecular insights of the mechanisms of therapeutic resistance and immune suppression to develop a new class of novel drugs that are designed to target drug resistance and checkpoints of immune suppression. As of the date of this Quarterly Report, our product candidates have not been approved as safe or effective by the FDA or any other comparable foreign regulator.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Our net losses were $3,042 and $2,684 for the six months ended June 30, 2026 and 2025, respectively. As of June 30, 2026, we had an accumulated deficit of $17,304.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product sales unless and until we successfully complete our clinical trials and obtain regulatory approval for our product candidates. In addition, if we obtain regulatory approval for our product candidates and do not enter into a third-party commercialization partnership, we will likely incur significant expenses related to developing our commercialization capability to support product sales, marketing, manufacturing, and distribution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and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stockholders, in case of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At the Market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filed a shelf registration statement on Form S-3, registering up to $75,000 in aggregate securities and, in conjunction therewith, filed a prospectus supplement for the sale of up to $4,500 of common stock pursuant to an At the Market Offering Agreement (the “ATM Agreement”) with H.C. Wainwright and Co., LLC (the “Placement Agent”). Under the ATM Agreement, the Placement Agent will be entitled to 3.0% of the gross proceeds of any sales made under the ATM Agreement. As a result of the ATM offering, during the six months ended June 30, 2026, we raised gross proceeds of $392 through the sale of 601,947 shares of its common stock. Net proceeds were $374 after the deduction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raised gross proceeds of $911 through the sale of 2,359,326 shares of its common stock under the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Services Agreement with Brammer Bio MA,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we entered into a Pharmaceutical Development Services Agreement with Brammer Bio MA, LLC (“Patheon”), under which Patheon agrees to transfer and manufacture clinical supply of ENV-105 sterile liquid vials in compliance with applicable regulations and cGMP to support Phase II clinical trials. The agreement also covers related analytical and microbiology methods, stability studies, and regulatory support, and includes customary terms on confidentiality, intellectual property ownership, quality audits, fees and cancellation, term, and termination. The total amount committed by the Company under the agreement is $783.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sales to date. No revenue was recorded from any source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Ramachandran Murali is our Vice President of Research and Development. Dr. Murali is a doctor and scientist at Cedars-Sinai Medical Center, and is the inventor, with others, of three of the patented technologies that are subject to the Kairos-Cedars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rolling out our Phase 1 and Phase 2 clinical trials for ENV 105 and a Phase 1 trial for KROS 201. In addition, we are continuously performing preclinical research including animal models of disease, medicinal chemistry laboratory studies, formulation, and toxicology and biodistribution studies. Our clinical development costs may vary significantly based on factors such as: per patient trial costs; the number of trials required for approval; the number of sites included in the trials; the location where the trials are conducted; the length of time required to enroll eligible patients; the number of patients that participate in the trials; the number of doses that patients receive; the drop-out or discontinuation rates of patients; potential additional safety monitoring requested by regulatory agencies; the duration of patient participation in the trials and follow-up; the cost and timing of manufacturing our product candidates; the phase of development of our product candidates; and the efficacy and safety profile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and commercialization of product candidates is highly uncertain. This is due to the numerous risks and uncertainties associated with product development and commercialization, including the following: the timing and progress of nonclinical and clinical development activities; the number and scope of nonclinical and clinical programs we decide to pursue; raising necessary additional funds; the progress of the development efforts of parties with whom we may enter into collaboration arrangements; our ability to maintain our current development program and to establish new ones; our ability to establish new licensing or collaboration arrangements; the successful initiation and completion of clinical trials with safety, tolerability and efficacy profiles that are satisfactory to the FDA or any comparable foreign regulatory authority; the receipt and related terms of regulatory approvals from applicable regulatory authorities; the availability of drug substance and drug product for use in production of our product candidate; establishing and maintaining agreements with third-party manufacturers for clinical supply for our clinical trials and commercial manufacturing, if our product candidates are approved; our ability to obtain and maintain patents, trade secret protection and regulatory exclusivity, both in the United States and internationally; our ability to protect our rights in our intellectual property portfolio; the commercialization of our product candidates, if and when approved; obtaining and maintaining third-party insurance coverage and adequate reimbursement; the acceptance of our product candidate, if approved, by patients, the medical community and third-party payors; competition with other products; the impact of any business interruptions to our operations, including the timing and enrollment of patients in our planned clinical trials, or to those of our manufacturers, suppliers, or other vendors resulting from any pandemic or public health crisis; and a continued acceptable safety profile of our therapies following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costs for personnel in executive, finance, corporate and business development, as well as administrative functions. General and administrative expenses also include legal fees relating to patent, corporate, IPO-related matters, and SEC reporting matters; professional fees for accounting, auditing, tax and administrative consulting services; insurance costs; administrative travel expenses; marketing expenses and other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2585"/>
        <w:gridCol w:w="60"/>
        <w:gridCol w:w="255"/>
        <w:gridCol w:w="1159"/>
        <w:gridCol w:w="95"/>
        <w:gridCol w:w="60"/>
        <w:gridCol w:w="255"/>
        <w:gridCol w:w="1159"/>
        <w:gridCol w:w="11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048" w:type="dxa"/>
        <w:jc w:val="left"/>
        <w:tblInd w:w="0" w:type="dxa"/>
        <w:tblLayout w:type="fixed"/>
        <w:tblCellMar>
          <w:top w:w="0" w:type="dxa"/>
          <w:left w:w="0" w:type="dxa"/>
          <w:bottom w:w="28" w:type="dxa"/>
          <w:right w:w="0" w:type="dxa"/>
        </w:tblCellMar>
      </w:tblPr>
      <w:tblGrid>
        <w:gridCol w:w="3965"/>
        <w:gridCol w:w="60"/>
        <w:gridCol w:w="380"/>
        <w:gridCol w:w="1034"/>
        <w:gridCol w:w="60"/>
        <w:gridCol w:w="60"/>
        <w:gridCol w:w="380"/>
        <w:gridCol w:w="1034"/>
        <w:gridCol w:w="75"/>
      </w:tblGrid>
      <w:tr>
        <w:trPr/>
        <w:tc>
          <w:tcPr>
            <w:tcW w:w="39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Research and Development Expenses: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 and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$619 and $496 for the three months ended June 30, 2026 and 2025, respectively. The increase in R&amp;D expenses in the second quarter of 2026 compared to the second quarter of 2025 primarily related to our Phase 2 trial in prostate cancer beginning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28" w:type="dxa"/>
          <w:right w:w="0" w:type="dxa"/>
        </w:tblCellMar>
      </w:tblPr>
      <w:tblGrid>
        <w:gridCol w:w="4250"/>
        <w:gridCol w:w="60"/>
        <w:gridCol w:w="380"/>
        <w:gridCol w:w="1034"/>
        <w:gridCol w:w="60"/>
        <w:gridCol w:w="60"/>
        <w:gridCol w:w="380"/>
        <w:gridCol w:w="1034"/>
        <w:gridCol w:w="75"/>
      </w:tblGrid>
      <w:tr>
        <w:trPr/>
        <w:tc>
          <w:tcPr>
            <w:tcW w:w="42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and board compensation and wages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professional service expenses and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vAlign w:val="center"/>
          </w:tcPr>
          <w:p>
            <w:pPr>
              <w:pStyle w:val="TableContents"/>
              <w:bidi w:val="0"/>
              <w:spacing w:before="0" w:after="283"/>
              <w:jc w:val="left"/>
              <w:rPr/>
            </w:pPr>
            <w:r>
              <w:rPr/>
              <w:t> </w:t>
            </w:r>
          </w:p>
        </w:tc>
        <w:tc>
          <w:tcPr>
            <w:tcW w:w="10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vAlign w:val="center"/>
          </w:tcPr>
          <w:p>
            <w:pPr>
              <w:pStyle w:val="TableContents"/>
              <w:bidi w:val="0"/>
              <w:spacing w:before="0" w:after="283"/>
              <w:jc w:val="left"/>
              <w:rPr/>
            </w:pPr>
            <w:r>
              <w:rPr/>
              <w:t> </w:t>
            </w:r>
          </w:p>
        </w:tc>
        <w:tc>
          <w:tcPr>
            <w:tcW w:w="10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$798 and $960 for the three months ended June 30, 2026 and 2025, respectively. There were no significant changes in expense categories between periods.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$29 and $34 for the three months ended June 30, 2026 and 2025, respectively. In both periods, other income was interest income earned from our money market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2585"/>
        <w:gridCol w:w="60"/>
        <w:gridCol w:w="255"/>
        <w:gridCol w:w="1159"/>
        <w:gridCol w:w="95"/>
        <w:gridCol w:w="60"/>
        <w:gridCol w:w="255"/>
        <w:gridCol w:w="1159"/>
        <w:gridCol w:w="11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989</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049" w:type="dxa"/>
        <w:jc w:val="left"/>
        <w:tblInd w:w="0" w:type="dxa"/>
        <w:tblLayout w:type="fixed"/>
        <w:tblCellMar>
          <w:top w:w="0" w:type="dxa"/>
          <w:left w:w="0" w:type="dxa"/>
          <w:bottom w:w="28" w:type="dxa"/>
          <w:right w:w="0" w:type="dxa"/>
        </w:tblCellMar>
      </w:tblPr>
      <w:tblGrid>
        <w:gridCol w:w="3965"/>
        <w:gridCol w:w="60"/>
        <w:gridCol w:w="283"/>
        <w:gridCol w:w="1132"/>
        <w:gridCol w:w="60"/>
        <w:gridCol w:w="60"/>
        <w:gridCol w:w="380"/>
        <w:gridCol w:w="1034"/>
        <w:gridCol w:w="75"/>
      </w:tblGrid>
      <w:tr>
        <w:trPr/>
        <w:tc>
          <w:tcPr>
            <w:tcW w:w="39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Research and Development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 and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were $1,303 and $989 for the six months ended June 30, 2026 and 2025, respectively. The increase in R&amp;D expenses in the first six months of 2026 primarily related to our Phase 2 trial in prostate cancer beginning in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28" w:type="dxa"/>
          <w:right w:w="0" w:type="dxa"/>
        </w:tblCellMar>
      </w:tblPr>
      <w:tblGrid>
        <w:gridCol w:w="4250"/>
        <w:gridCol w:w="60"/>
        <w:gridCol w:w="283"/>
        <w:gridCol w:w="1132"/>
        <w:gridCol w:w="60"/>
        <w:gridCol w:w="60"/>
        <w:gridCol w:w="283"/>
        <w:gridCol w:w="1132"/>
        <w:gridCol w:w="75"/>
      </w:tblGrid>
      <w:tr>
        <w:trPr/>
        <w:tc>
          <w:tcPr>
            <w:tcW w:w="42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and board compensation and wages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professional service expenses and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pPr>
            <w:r>
              <w:rPr/>
              <w:t> </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pPr>
            <w:r>
              <w:rPr/>
              <w:t> </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$1,804 and $1,733 for the six months ended June 30, 2026 and 2025, respectively. Significant changes between periods consisted of the decrease in the amortization of vendor advances in 2026, primarily related to the amount, timing and duration of each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$65 and $38 for the six months ended June 30, 2026 and 2025, respectively. In both periods, other income was interest income earned from our money market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recurring losses from operations since inception and incurred a net loss of $3,042 and used cash in operations of $2,048 during the six months ended June 30, 2026. These factors raise substantial doubt about the Company’s ability to continue as a going concern. In addition, the Company’s independent registered public accounting firm, in its report on the Company’s December 31, 2025 financial statements, has expressed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short-term investments of $2,626. Until the Company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(which registers shares for resale under our equity line of credit agreement (“ELOC”) and Form S-3 (which registers shares underlying an at-the-market offering (“ATM Offering”) agreement, which registration statements were filed in 2025 and 2026, respectively, we may not receive some or all of these available proceeds due to certain factors. The failure to receive all or some of the proceeds available under these offerings would exhaust our available capital resources sooner than expected and will require us to obtain further funding to achieve our business objectives.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cash flow activities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8108" w:type="dxa"/>
        <w:jc w:val="left"/>
        <w:tblInd w:w="0" w:type="dxa"/>
        <w:tblLayout w:type="fixed"/>
        <w:tblCellMar>
          <w:top w:w="0" w:type="dxa"/>
          <w:left w:w="0" w:type="dxa"/>
          <w:bottom w:w="28" w:type="dxa"/>
          <w:right w:w="0" w:type="dxa"/>
        </w:tblCellMar>
      </w:tblPr>
      <w:tblGrid>
        <w:gridCol w:w="4955"/>
        <w:gridCol w:w="60"/>
        <w:gridCol w:w="255"/>
        <w:gridCol w:w="1159"/>
        <w:gridCol w:w="95"/>
        <w:gridCol w:w="60"/>
        <w:gridCol w:w="255"/>
        <w:gridCol w:w="1159"/>
        <w:gridCol w:w="110"/>
      </w:tblGrid>
      <w:tr>
        <w:trPr/>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0"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8" w:space="0" w:color="000000"/>
            </w:tcBorders>
            <w:shd w:fill="CCEEFF" w:val="clear"/>
            <w:vAlign w:val="center"/>
          </w:tcPr>
          <w:p>
            <w:pPr>
              <w:pStyle w:val="TableContents"/>
              <w:bidi w:val="0"/>
              <w:spacing w:before="0" w:after="283"/>
              <w:jc w:val="left"/>
              <w:rPr/>
            </w:pPr>
            <w:r>
              <w:rPr/>
              <w:t> </w:t>
            </w:r>
          </w:p>
        </w:tc>
        <w:tc>
          <w:tcPr>
            <w:tcW w:w="115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8" w:space="0" w:color="000000"/>
            </w:tcBorders>
            <w:shd w:fill="CCEEFF" w:val="clear"/>
            <w:vAlign w:val="center"/>
          </w:tcPr>
          <w:p>
            <w:pPr>
              <w:pStyle w:val="TableContents"/>
              <w:bidi w:val="0"/>
              <w:spacing w:before="0" w:after="283"/>
              <w:jc w:val="left"/>
              <w:rPr/>
            </w:pPr>
            <w:r>
              <w:rPr/>
              <w:t> </w:t>
            </w:r>
          </w:p>
        </w:tc>
        <w:tc>
          <w:tcPr>
            <w:tcW w:w="115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used cash from operating activities of $2,048, compared to $1,519 used during the six months ended June 30, 2025. During the six months ended June 30, 2026, we incurred a net loss of $3,042 and had non-cash expenses of $1,013, compared to a net loss of $2,684 and non-cash expenses of $1,531 during the six months ended June 30, 2025. The primary non-cash expense in the first six months of 2026 was the amortization of vendor advances of $433 and the fair value of vested restricted stock units of $518. The primary non-cash expense in the same period of 2025 was the amortization of vendor advances of $1,298 and the fair value of vested restricted stock units of $153.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change in operating assets and liabilities during the six months ended June 30, 2026 used cash of $19, compared to $366 used during the six months ended June 30, 2025. The primary use of cash relating to operating assets and liabilities during the six months ended June 30, 2026, was the increase in prepaid expenses. The primary use of cash during the six months ended June 30, 2025, was the decrease in 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provided cash from financing activities of $183, compared to $3,281 provided during the six months ended June 30, 2025. For the six months ended June 30, 2026, cash provided by financing activities consisted of proceeds from our ATM Offering of $392. Net cash provided in the same period of 2025 was from net proceeds from the sale and exercise of prefunded warrants of $3,058 and proceeds from our ELOC of $223. Net cash used in the first six months of 2026 consisted of the payment of deferred offering costs of $209.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Exclusive License Agreements with Cedars-Sinai Medical Center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four Exclusive License Agreements with Cedars, each of which grants the Company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(for items 1 and 2) and $500 (for item 3) upon the successful completing of Phase II clinical trial for a product and receipt of Food and Drug Administration (“FDA”)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or equivalent foreign regulatory approval in a non-United States major commercial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cumulative net sales exceeding $5,000.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the successful completing of Phase II clinical trial and receipt of Food and Drug Administration (“FDA”) or equivalent regulatory agency in another jurisdiction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 upon cumulative net sales exceeding $50,000.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 amounts were due under the Exclusive License Agreements between Cedars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Enviro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our then-wholly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Novation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October 1, 2025, the Board approved the Company’s entry into a novation agreement (the “Tracon Novation Agreement”) with Tracon Pharmaceuticals, Inc.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Agreements with Lonza Sales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we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we entered into an additional statement of work to the sales agreement with Lonza pursuant to which the Company agreed to pay an additional amount of approximately $2,000, which will also be paid over time as each of the 13 stages of the Lonza Amendment are completed.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Brammer Bio MA,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we entered into a Pharmaceutical Development Services Agreement with Brammer Bio MA, LLC (“Patheon”), under which Patheon agrees to transfer and manufacture clinical supply of ENV-105 sterile liquid vials in compliance with applicable regulations and cGMP to support Phase II clinical trials. The agreement also covers related analytical and microbiology methods, stability studies, and regulatory support, and includes customary terms on confidentiality, intellectual property ownership, quality audits, fees and cancellation, term, and termination. The total amount committed by the Company under the agreement is $783.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Celyn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we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As of June 30, 2026, the CL-273 asset acquisition was no longer under negotiation.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substantially in connection with our ongoing research activities, particularly as we pursue the advancement of our product candidates through clinical trials. In addition, we expect to incur additional costs associated with operating as a public company. The timing and amount of our operating expenditures will depend on numerous variables, including: the initiation, progress, timing, costs and results of the clinical trials for our product candidates or any future product candidates we may develop; the initiation, progress, timing, costs and results of nonclinical studies for our product candidates or any future product candidates we may develop; our ability to maintain our relationships with key collaborators; 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the effect of competing technological and market developments; the costs of continuing to grow our business, including hiring key personnel and maintain or acquiring operating space; market acceptance of any approved product candidates, including product pricing, as well as product coverage and the adequacy of reimbursement by third-party payors; the cost of acquiring, licensing or investing in additional businesses, products, product candidates and technologies; the cost and timing of selecting, auditing and potentially validating a manufacturing site for commercial-scale manufacturing; the cost of establishing sales, marketing and distribution capabilities for any product candidates for which we may receive regulatory approval and that we determine to commercialize; and our need to implement additional internal systems and infrastructure, including financial and reporting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require additional funding to complete the clinical development and commercialization of our product candidates, if we receive regulatory approval, and pursue in-licenses or acquisitions of other product candidates. If we receive regulatory approval for our product candidates, we expect to incur significant commercialization expenses related to product manufacturing, sales, marketing and distribution, depending on where we choose to commercialize ourselves.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the rights of our current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certain contingent liabilities that arise in the ordinary course of business. We evaluate the likelihood of an unfavorable outcome in legal or regulatory proceedings to which we are a party and record a loss contingency on an undiscounted basis when it is probable that a liability has been incurred and the amount of the loss can be reasonably estimated. These judgments are subjective and based on the status of such legal proceedings, the merits of our defenses, and consultation with legal counsel. Actual outcomes of these legal proceedings may differ materially from our estimates. We estimate accruals for legal expenses when incurred as of each balance sheet date based on the facts and circumstances known to us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we did not have, and we do not currently have, any off-balance sheet arrangements (as defined under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recently issued accounting standards that may have a material impact on our financial statements or will otherwise apply to our operations, please see Note 2 to our unaudited financial statements appearing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453" w:name="a_009"/>
      <w:bookmarkEnd w:id="453"/>
      <w:r>
        <w:rPr>
          <w:rFonts w:ascii="Times New Roman;Times;Serif" w:hAnsi="Times New Roman;Times;Serif"/>
          <w:b/>
          <w:i w:val="false"/>
          <w:caps w:val="false"/>
          <w:smallCaps w:val="false"/>
          <w:sz w:val="20"/>
          <w:u w:val="single"/>
        </w:rPr>
        <w:t>Item 3. Quantitative and Qualitative Disclosures about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454" w:name="a_010"/>
      <w:bookmarkEnd w:id="454"/>
      <w:r>
        <w:rPr>
          <w:rFonts w:ascii="Times New Roman;Times;Serif" w:hAnsi="Times New Roman;Times;Serif"/>
          <w:b/>
          <w:i w:val="false"/>
          <w:caps w:val="false"/>
          <w:smallCaps w:val="false"/>
          <w:sz w:val="20"/>
          <w:u w:val="single"/>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for timely decisions regarding required disclosure. Under the supervision and with the participation of our management, including our Chief Executive Officer and Chief Financial Officer, we conducted an evaluation of the effectiveness of our disclosure controls and procedures as of June 30, 2026. Based on this evaluation, our Chief Executive Officer and Chief Financial Officer concluded that our disclosure controls and procedures were not effective at a reasonable assurance level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Status of Previously Disclosed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Annual Report on Form 10-K for the period ended December 31, 2025, we identified the below material weakness in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size and stage of development, segregation of all conflicting duties is not always possible or economically feasible. As of June 30, 2026, we continue to lack sufficient review procedures and segregation of duties such that proper review had not been performed by someone other than the preparer, including manual journal entries, and that process documentation is lacking for review.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or 15d-15(f) of the Exchange Act) that occurred during the period covered by this Quarterly Report that materially affected, or are reasonably likely to materially affect, our internal control over financial reporting. However, the Company will continue to monitor and work to address the underlying causes of material weaknesses and control deficiencies. Such material weaknesses and control deficiencies will not be fully remediated until the Company has concluded that our internal controls are operating effectively for a sufficient period of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55" w:name="a_011"/>
      <w:bookmarkEnd w:id="455"/>
      <w:r>
        <w:rPr>
          <w:rFonts w:ascii="Times New Roman;Times;Serif" w:hAnsi="Times New Roman;Times;Serif"/>
          <w:b/>
          <w:i w:val="false"/>
          <w:caps w:val="false"/>
          <w:smallCaps w:val="false"/>
          <w:sz w:val="20"/>
        </w:rPr>
        <w:t>PART II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6" w:name="a_012"/>
      <w:bookmarkEnd w:id="45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 We maintain insurance policies in amounts and with the coverage and deductibles we believe are adequate, based on the nature and risks of our business, historical experience and industry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7" w:name="a_013"/>
      <w:bookmarkEnd w:id="45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 You should carefully consider the factors discussed in “Part I, Item 1A. Risk Factors” in our Annual Report on Form 10-K for the year ended December 31, 2025, which could materially affect our business, financial condition or future results. Except as disclosed below, there have been no material changes from the risk factors previously disclosed under the heading “Risk Factors” in our Annual Report on Form 10-K for the fiscal year ended December 31, 2025. The risks described in our Annual Report are not the only risks we face. Additional risks and uncertainties not currently known to us or that we currently deem to be immaterial may also materially adversely affect our business, financial position, or future results of operations. We may disclose changes to such factors or disclose additional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the continued listing requirements of NYSE American, our common stock could be delisted, which would severely impact the liquidity and market price of our shares. In addition, NYSE American continually reviews, updates, and proposes changes to its listing standards, which, if approved and implemented, could introduce additional delisting risks for issuers like 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rPr>
      </w:pPr>
      <w:r>
        <w:rPr>
          <w:rFonts w:ascii="Times New Roman;Times;Serif" w:hAnsi="Times New Roman;Times;Serif"/>
        </w:rPr>
        <w:t xml:space="preserve">In order to remain listed on NYSE American, we must satisfy minimum financial and other continued listing requirements and standards, including those regarding director independence and independent committee requirements, minimum stockholders’ equity, minimum share price, and certain corporate governance requirements. </w:t>
      </w:r>
      <w:r>
        <w:rPr>
          <w:rFonts w:ascii="Times New Roman;Times;Serif" w:hAnsi="Times New Roman;Times;Serif"/>
          <w:sz w:val="20"/>
        </w:rPr>
        <w:t>In addition to existing requirements, NYSE American may propose and amend its listing rules to seek to impose stricter, accelerated enforcement mechanisms, such as immediate trading suspensions and delisting proceedings for securities failing to meet minimum price thresholds, with limited or no compliance or cure periods. Any final implementation of such stricter rules could subject companies like us to rapid delisting risks. Furthermore, if the NYSE American listing standards are further modified, tightened, or alternatively finalized in the future, we may be unable to satisfy such evolving requirements under any circumstances. The risk of a rapid loss of NYSE American listing, or an actual delisting, could adversely affect investor confidence, the liquidity and trading price of our common stock, and our ability to access the capital markets, and could have a material adverse effect on our business, financial condition and results of operations. There can be no assurance regarding our future stock performance or our ability to maintain compliance with NYSE American listing standards as they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8" w:name="a_014"/>
      <w:bookmarkEnd w:id="45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equity securities made by the Company during the quarter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9" w:name="a_015"/>
      <w:bookmarkEnd w:id="45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a_016"/>
      <w:bookmarkEnd w:id="460"/>
      <w:r>
        <w:rPr>
          <w:rFonts w:ascii="Times New Roman;Times;Serif" w:hAnsi="Times New Roman;Times;Serif"/>
          <w:b/>
          <w:i w:val="false"/>
          <w:caps w:val="false"/>
          <w:smallCaps w:val="false"/>
          <w:sz w:val="20"/>
        </w:rPr>
        <w:t>Item 4.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a_017"/>
      <w:bookmarkEnd w:id="46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ended June 30, 2026, none of our directors or executive officers </w:t>
      </w:r>
      <w:bookmarkStart w:id="462" w:name="xdx_901_eecd--NonRule10b51ArrAdoptedFlag"/>
      <w:bookmarkStart w:id="463" w:name="xdx_90E_eecd--Rule10b51ArrAdoptedFlag_db"/>
      <w:bookmarkEnd w:id="462"/>
      <w:bookmarkEnd w:id="463"/>
      <w:r>
        <w:rPr>
          <w:rFonts w:ascii="Times New Roman;Times;Serif" w:hAnsi="Times New Roman;Times;Serif"/>
          <w:b w:val="false"/>
          <w:i w:val="false"/>
          <w:caps w:val="false"/>
          <w:smallCaps w:val="false"/>
          <w:sz w:val="20"/>
        </w:rPr>
        <w:t xml:space="preserve">adopted or </w:t>
      </w:r>
      <w:bookmarkStart w:id="464" w:name="xdx_902_eecd--NonRule10b51ArrTrmntdFlag_"/>
      <w:bookmarkStart w:id="465" w:name="xdx_909_eecd--Rule10b51ArrTrmntdFlag_dbF"/>
      <w:bookmarkEnd w:id="464"/>
      <w:bookmarkEnd w:id="465"/>
      <w:r>
        <w:rPr>
          <w:rFonts w:ascii="Times New Roman;Times;Serif" w:hAnsi="Times New Roman;Times;Serif"/>
          <w:b w:val="false"/>
          <w:i w:val="false"/>
          <w:caps w:val="false"/>
          <w:smallCaps w:val="false"/>
          <w:sz w:val="20"/>
        </w:rPr>
        <w:t>terminated any “Rule 10b5-1 trading arrangement” or “non-Rule 10b5-1 trading arrangement” (as each item is defined Item 408(a) of Regulation S-K).</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a_018"/>
      <w:bookmarkEnd w:id="46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9"/>
        <w:gridCol w:w="60"/>
        <w:gridCol w:w="9326"/>
      </w:tblGrid>
      <w:tr>
        <w:trPr/>
        <w:tc>
          <w:tcPr>
            <w:tcW w:w="819"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9"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Kairos Pharma, Ltd. filed with the Secretary of State of the State of Delaware, dated May 10, 2023 (incorporated by reference to Exhibit 3.5 to the Company’s Registration Statement on Form S-1, filed on August 16, 2024).</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Bylaws of Kairos Pharma, Ltd. (Delaware) (incorporated by reference to Exhibit 3.6 to the Company’s Registration Statement on Form S-1, filed on August 16, 2024).</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Representative’s Warrant (incorporated by reference to Exhibit 4.1 to the Company’s Registration Statement on Form S-1, filed on August 16, 2024)</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No. 1 to the Kairos Pharma, Inc. 2023 Equity Incentive Plan, as adopted June 29, 2026</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Agreement for the Support of Investigator / Institution Initiated Research, dated July 16, 2026, between Bayer HealthCare Pharmaceuticals Inc. and Kairos Pharma Ltd (incorporated by reference to Exhibit 10.1 to the Company’s Current Report on Form 8-K, filed on July 22, 2026).</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as Adopted Pursuant to Section 302 of the Sarbanes-Oxley Act of 2002.</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as Adopted Pursuant to Section 302 of the Sarbanes-Oxley Act of 2002.</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Document-the instance document does not appear in the Interactive Data File as its XBRL tags are embedded within the Inline XBRL document. </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w:t>
            </w:r>
          </w:p>
        </w:tc>
      </w:tr>
      <w:tr>
        <w:trPr/>
        <w:tc>
          <w:tcPr>
            <w:tcW w:w="8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67" w:name="a_019"/>
      <w:bookmarkEnd w:id="467"/>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320"/>
        <w:gridCol w:w="51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5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Samuelson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Samuelson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68" w:name="ex10-1.htm"/>
      <w:bookmarkStart w:id="469" w:name="ksex101"/>
      <w:bookmarkEnd w:id="468"/>
      <w:bookmarkEnd w:id="4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on June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attract and retain the best available personnel for positions of substantial responsibility,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incentives to individuals who perform services for the Company (as defined below),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promote the success of the Company’s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Stock Appreciation Rights, Restricted Stock, Restricted Stock Units, Performance Units, Performance Shares and other stock or cash awards as the Administrator (as defined below)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any of its Committees as will be administering the Plan, in accordance with Section 4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or any other entity (including, but not limited to, partnerships and joint ventures) controlling, controlled by, or under common control with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Performance Units, Performance Shares and other stock or cash awards as the Administrator may determine.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agreement setting forth the terms and provisions applicable to each Award granted under the Plan. The Award Agreement is subject to the terms and conditions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after the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Internal Revenue Code of 1986, as amended. Any reference to a section of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herein will be a reference to any successor or amended section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means</w:t>
            </w:r>
            <w:r>
              <w:rPr>
                <w:rFonts w:ascii="Times New Roman;Times;Serif" w:hAnsi="Times New Roman;Times;Serif"/>
                <w:b w:val="false"/>
                <w:i w:val="false"/>
                <w:caps w:val="false"/>
                <w:smallCaps w:val="false"/>
                <w:sz w:val="20"/>
              </w:rPr>
              <w:t xml:space="preserve"> the common stock, par value $0.001 per share,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means</w:t>
            </w:r>
            <w:r>
              <w:rPr>
                <w:rFonts w:ascii="Times New Roman;Times;Serif" w:hAnsi="Times New Roman;Times;Serif"/>
                <w:b w:val="false"/>
                <w:i w:val="false"/>
                <w:caps w:val="false"/>
                <w:smallCaps w:val="false"/>
                <w:sz w:val="20"/>
              </w:rPr>
              <w:t xml:space="preserve"> Kairos Pharma, Ltd., a Delaware corporation, or any successor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other than an Employee engaged by the Company or a Parent, Subsidiary or Affiliate to render services to such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xml:space="preserve">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means permanent and total disability as defined in Section 22(e)(3) of the Code, provided that </w:t>
            </w:r>
            <w:r>
              <w:rPr>
                <w:rFonts w:ascii="Times New Roman;Times;Serif" w:hAnsi="Times New Roman;Times;Serif"/>
                <w:b w:val="false"/>
                <w:i w:val="false"/>
                <w:caps w:val="false"/>
                <w:smallCaps w:val="false"/>
                <w:sz w:val="20"/>
                <w:u w:val="single"/>
              </w:rPr>
              <w:t>in</w:t>
            </w:r>
            <w:r>
              <w:rPr>
                <w:rFonts w:ascii="Times New Roman;Times;Serif" w:hAnsi="Times New Roman;Times;Serif"/>
                <w:b w:val="false"/>
                <w:i w:val="false"/>
                <w:caps w:val="false"/>
                <w:smallCaps w:val="false"/>
                <w:sz w:val="20"/>
              </w:rPr>
              <w:t xml:space="preserve"> the case of Awards other than Incentive Stock Options, the Administrator in its discretion may determine whether a permanent and total disability exists in accordance with uniform and non-discriminatory standards adopted by the Administrator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Section 17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xml:space="preserve">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as of any date, the value of the Common Stock as the Administrator may determine in good faith, by reference to the closing price of such stock on any established </w:t>
            </w:r>
            <w:r>
              <w:rPr>
                <w:rFonts w:ascii="Times New Roman;Times;Serif" w:hAnsi="Times New Roman;Times;Serif"/>
                <w:b w:val="false"/>
                <w:i w:val="false"/>
                <w:caps w:val="false"/>
                <w:smallCaps w:val="false"/>
                <w:sz w:val="20"/>
                <w:u w:val="single"/>
              </w:rPr>
              <w:t>stock</w:t>
            </w:r>
            <w:r>
              <w:rPr>
                <w:rFonts w:ascii="Times New Roman;Times;Serif" w:hAnsi="Times New Roman;Times;Serif"/>
                <w:b w:val="false"/>
                <w:i w:val="false"/>
                <w:caps w:val="false"/>
                <w:smallCaps w:val="false"/>
                <w:sz w:val="20"/>
              </w:rPr>
              <w:t xml:space="preserve">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xml:space="preserve">” means the fiscal </w:t>
            </w:r>
            <w:r>
              <w:rPr>
                <w:rFonts w:ascii="Times New Roman;Times;Serif" w:hAnsi="Times New Roman;Times;Serif"/>
                <w:b w:val="false"/>
                <w:i w:val="false"/>
                <w:caps w:val="false"/>
                <w:smallCaps w:val="false"/>
                <w:sz w:val="20"/>
                <w:u w:val="single"/>
              </w:rPr>
              <w:t>year</w:t>
            </w:r>
            <w:r>
              <w:rPr>
                <w:rFonts w:ascii="Times New Roman;Times;Serif" w:hAnsi="Times New Roman;Times;Serif"/>
                <w:b w:val="false"/>
                <w:i w:val="false"/>
                <w:caps w:val="false"/>
                <w:smallCaps w:val="false"/>
                <w:sz w:val="20"/>
              </w:rPr>
              <w:t xml:space="preserve">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by its terms qualifies and is otherwise intended to qualify as an incentive stock option within the meaning of Section 422 of the Code and the regulations promulgated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xml:space="preserve">” means an Option that by its terms does not qualify or expressly provides that it is not </w:t>
            </w:r>
            <w:r>
              <w:rPr>
                <w:rFonts w:ascii="Times New Roman;Times;Serif" w:hAnsi="Times New Roman;Times;Serif"/>
                <w:b w:val="false"/>
                <w:i w:val="false"/>
                <w:caps w:val="false"/>
                <w:smallCaps w:val="false"/>
                <w:sz w:val="20"/>
                <w:u w:val="single"/>
              </w:rPr>
              <w:t>intended</w:t>
            </w:r>
            <w:r>
              <w:rPr>
                <w:rFonts w:ascii="Times New Roman;Times;Serif" w:hAnsi="Times New Roman;Times;Serif"/>
                <w:b w:val="false"/>
                <w:i w:val="false"/>
                <w:caps w:val="false"/>
                <w:smallCaps w:val="false"/>
                <w:sz w:val="20"/>
              </w:rPr>
              <w:t xml:space="preserve"> to qualify as an Incentive Stock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who is an officer of the Company within the meaning of Section 16 of the Exchange Act and the rules and regulations promulgated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means a stock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granted pursuant to Section 6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Section 424(e)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the holder </w:t>
            </w:r>
            <w:r>
              <w:rPr>
                <w:rFonts w:ascii="Times New Roman;Times;Serif" w:hAnsi="Times New Roman;Times;Serif"/>
                <w:b w:val="false"/>
                <w:i w:val="false"/>
                <w:caps w:val="false"/>
                <w:smallCaps w:val="false"/>
                <w:sz w:val="20"/>
                <w:u w:val="single"/>
              </w:rPr>
              <w:t>of</w:t>
            </w:r>
            <w:r>
              <w:rPr>
                <w:rFonts w:ascii="Times New Roman;Times;Serif" w:hAnsi="Times New Roman;Times;Serif"/>
                <w:b w:val="false"/>
                <w:i w:val="false"/>
                <w:caps w:val="false"/>
                <w:smallCaps w:val="false"/>
                <w:sz w:val="20"/>
              </w:rPr>
              <w:t xml:space="preserve"> an outstanding Award.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will have the meaning set forth in Section 11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xml:space="preserve">” means any Fiscal Year of the Company or such other period as determined by the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xml:space="preserve"> in its sole discretion.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xml:space="preserve">” means an Award denominated in Shares which may be earned in whole or in part upon </w:t>
            </w:r>
            <w:r>
              <w:rPr>
                <w:rFonts w:ascii="Times New Roman;Times;Serif" w:hAnsi="Times New Roman;Times;Serif"/>
                <w:b w:val="false"/>
                <w:i w:val="false"/>
                <w:caps w:val="false"/>
                <w:smallCaps w:val="false"/>
                <w:sz w:val="20"/>
                <w:u w:val="single"/>
              </w:rPr>
              <w:t>attainment</w:t>
            </w:r>
            <w:r>
              <w:rPr>
                <w:rFonts w:ascii="Times New Roman;Times;Serif" w:hAnsi="Times New Roman;Times;Serif"/>
                <w:b w:val="false"/>
                <w:i w:val="false"/>
                <w:caps w:val="false"/>
                <w:smallCaps w:val="false"/>
                <w:sz w:val="20"/>
              </w:rPr>
              <w:t xml:space="preserve"> of Performance Goals or other vesting criteria as the Administrator may determine pursuant to Section 10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xml:space="preserve">” means an Award which may be earned in whole or in part upon attainment of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xml:space="preserve"> Goals or other vesting criteria as the Administrator may determine and which may be settled for cash, Shares or other securities or a combination of the foregoing pursuant to Section 10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2023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98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xml:space="preserve">” means Shares issued pursuant to an Award of Restricted Stock under Section 8 hereof,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xml:space="preserve"> issued pursuant to the early exercise of an Option.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9 hereof. Each Restricted Stock Unit represents an unfunded and unsecured obligation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means Rule 16b-3 of the Exchange Act or any successor to Rule 16b-3, as in effect when </w:t>
            </w:r>
            <w:r>
              <w:rPr>
                <w:rFonts w:ascii="Times New Roman;Times;Serif" w:hAnsi="Times New Roman;Times;Serif"/>
                <w:b w:val="false"/>
                <w:i w:val="false"/>
                <w:caps w:val="false"/>
                <w:smallCaps w:val="false"/>
                <w:sz w:val="20"/>
                <w:u w:val="single"/>
              </w:rPr>
              <w:t>discretion</w:t>
            </w:r>
            <w:r>
              <w:rPr>
                <w:rFonts w:ascii="Times New Roman;Times;Serif" w:hAnsi="Times New Roman;Times;Serif"/>
                <w:b w:val="false"/>
                <w:i w:val="false"/>
                <w:caps w:val="false"/>
                <w:smallCaps w:val="false"/>
                <w:sz w:val="20"/>
              </w:rPr>
              <w:t xml:space="preserve"> is being exercised with respect to the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means Section 16(b)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adjusted in accordance with Section 14 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xml:space="preserve">” means an Award, granted alone or in connection with an Option, that </w:t>
            </w:r>
            <w:r>
              <w:rPr>
                <w:rFonts w:ascii="Times New Roman;Times;Serif" w:hAnsi="Times New Roman;Times;Serif"/>
                <w:b w:val="false"/>
                <w:i w:val="false"/>
                <w:caps w:val="false"/>
                <w:smallCaps w:val="false"/>
                <w:sz w:val="20"/>
                <w:u w:val="single"/>
              </w:rPr>
              <w:t>pursuant</w:t>
            </w:r>
            <w:r>
              <w:rPr>
                <w:rFonts w:ascii="Times New Roman;Times;Serif" w:hAnsi="Times New Roman;Times;Serif"/>
                <w:b w:val="false"/>
                <w:i w:val="false"/>
                <w:caps w:val="false"/>
                <w:smallCaps w:val="false"/>
                <w:sz w:val="20"/>
              </w:rPr>
              <w:t xml:space="preserve"> to Section 7 is designated as a Stock Appreciation Right.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r>
          </w:p>
        </w:tc>
        <w:tc>
          <w:tcPr>
            <w:tcW w:w="97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 “subsidiary corporation,” whether now or hereafter existing, as defined in Section 424(f) </w:t>
            </w:r>
            <w:r>
              <w:rPr>
                <w:rFonts w:ascii="Times New Roman;Times;Serif" w:hAnsi="Times New Roman;Times;Serif"/>
                <w:b w:val="false"/>
                <w:i w:val="false"/>
                <w:caps w:val="false"/>
                <w:smallCaps w:val="false"/>
                <w:sz w:val="20"/>
                <w:u w:val="single"/>
              </w:rPr>
              <w:t>of</w:t>
            </w:r>
            <w:r>
              <w:rPr>
                <w:rFonts w:ascii="Times New Roman;Times;Serif" w:hAnsi="Times New Roman;Times;Serif"/>
                <w:b w:val="false"/>
                <w:i w:val="false"/>
                <w:caps w:val="false"/>
                <w:smallCaps w:val="false"/>
                <w:sz w:val="20"/>
              </w:rPr>
              <w:t xml:space="preserve">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8"/>
        <w:gridCol w:w="100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w:t>
            </w:r>
            <w:r>
              <w:rPr>
                <w:rFonts w:ascii="Times New Roman;Times;Serif" w:hAnsi="Times New Roman;Times;Serif"/>
                <w:b w:val="false"/>
                <w:i w:val="false"/>
                <w:caps w:val="false"/>
                <w:smallCaps w:val="false"/>
                <w:sz w:val="20"/>
                <w:u w:val="single"/>
              </w:rPr>
              <w:t xml:space="preserve">provisions </w:t>
            </w:r>
            <w:r>
              <w:rPr>
                <w:rFonts w:ascii="Times New Roman;Times;Serif" w:hAnsi="Times New Roman;Times;Serif"/>
                <w:b w:val="false"/>
                <w:i w:val="false"/>
                <w:caps w:val="false"/>
                <w:smallCaps w:val="false"/>
                <w:sz w:val="20"/>
              </w:rPr>
              <w:t>of Section 14 hereof, the maximum aggregate number of Shares that may be awarded and sold under the Plan is 6.65 million (6,650,000) Shares. The Shares may be authorized, but unissued, or reacquired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xml:space="preserve">.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w:t>
            </w:r>
            <w:r>
              <w:rPr>
                <w:rFonts w:ascii="Times New Roman;Times;Serif" w:hAnsi="Times New Roman;Times;Serif"/>
                <w:b w:val="false"/>
                <w:i w:val="false"/>
                <w:caps w:val="false"/>
                <w:smallCaps w:val="false"/>
                <w:sz w:val="20"/>
                <w:u w:val="single"/>
              </w:rPr>
              <w:t>repurchased</w:t>
            </w:r>
            <w:r>
              <w:rPr>
                <w:rFonts w:ascii="Times New Roman;Times;Serif" w:hAnsi="Times New Roman;Times;Serif"/>
                <w:b w:val="false"/>
                <w:i w:val="false"/>
                <w:caps w:val="false"/>
                <w:smallCaps w:val="false"/>
                <w:sz w:val="20"/>
              </w:rPr>
              <w:t xml:space="preserve">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w:t>
            </w:r>
            <w:r>
              <w:rPr>
                <w:rFonts w:ascii="Times New Roman;Times;Serif" w:hAnsi="Times New Roman;Times;Serif"/>
                <w:b w:val="false"/>
                <w:i w:val="false"/>
                <w:caps w:val="false"/>
                <w:smallCaps w:val="false"/>
                <w:sz w:val="20"/>
                <w:u w:val="single"/>
              </w:rPr>
              <w:t xml:space="preserve">become </w:t>
            </w:r>
            <w:r>
              <w:rPr>
                <w:rFonts w:ascii="Times New Roman;Times;Serif" w:hAnsi="Times New Roman;Times;Serif"/>
                <w:b w:val="false"/>
                <w:i w:val="false"/>
                <w:caps w:val="false"/>
                <w:smallCaps w:val="false"/>
                <w:sz w:val="20"/>
              </w:rPr>
              <w:t>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this Section 3(b).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xml:space="preserve">. The Company, during the term of this Plan, will at all times reserve and keep available such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xml:space="preserve"> of Shares as will be sufficient to satisfy the requirements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170"/>
        <w:gridCol w:w="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may be established with respect to different groups of Service Providers; in that event, the Committee established with respect to a group of Service Providers shall administer the Plan with respect to Awards granted to members of such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which committee will be constituted to satisfy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xml:space="preserve">. Subject to the provisions of the Plan, and in the case of a Committee, subject to the specific duties delegated by the Board to such Committee, the Administrator will </w:t>
            </w:r>
            <w:r>
              <w:rPr>
                <w:rFonts w:ascii="Times New Roman;Times;Serif" w:hAnsi="Times New Roman;Times;Serif"/>
                <w:b w:val="false"/>
                <w:i w:val="false"/>
                <w:caps w:val="false"/>
                <w:smallCaps w:val="false"/>
                <w:sz w:val="20"/>
                <w:u w:val="single"/>
              </w:rPr>
              <w:t>have</w:t>
            </w:r>
            <w:r>
              <w:rPr>
                <w:rFonts w:ascii="Times New Roman;Times;Serif" w:hAnsi="Times New Roman;Times;Serif"/>
                <w:b w:val="false"/>
                <w:i w:val="false"/>
                <w:caps w:val="false"/>
                <w:smallCaps w:val="false"/>
                <w:sz w:val="20"/>
              </w:rPr>
              <w:t xml:space="preserve"> the authority, in its discretion:</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00"/>
        <w:gridCol w:w="2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Fair Market Value;</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6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select the Service Providers to whom Awards may be granted hereunder;</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320"/>
        <w:gridCol w:w="92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terms and condition, not inconsistent with the terms of the Plan, of any Award granted hereunder;</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construe and interpret the terms of the Plan and Awards granted pursuant to the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prescribe, amend and rescind rules and regulations relating to the Plan, including rules and regulations relating to sub-plans established for the purpose of satisfying applicable foreign laws;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365"/>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or amend each Award (subject to Section 19(c)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5"/>
        <w:gridCol w:w="9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any person to execute on behalf of the Company any instrument required to reflect or implement the grant of an Award previously granted by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45"/>
        <w:gridCol w:w="7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all other determinations deemed necessary or advisable for administering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170"/>
        <w:gridCol w:w="1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limits set forth in Section 3, the Administrator will have complete discretion to determine the number of Shares subject to an Option granted to any Participant.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Exercise Price and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85"/>
        <w:gridCol w:w="1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Exercise of </w:t>
            </w:r>
            <w:r>
              <w:rPr>
                <w:rFonts w:ascii="Times New Roman;Times;Serif" w:hAnsi="Times New Roman;Times;Serif"/>
                <w:b w:val="false"/>
                <w:i w:val="false"/>
                <w:caps w:val="false"/>
                <w:smallCaps w:val="false"/>
                <w:sz w:val="20"/>
              </w:rPr>
              <w:t>Option.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 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Participant.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Appreciation Rights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4"/>
        <w:gridCol w:w="100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difference between the Fair Market Value of a Share on the date of exercise over the “stock appreciation right exercise price,” as defined under Treasury Regulation Section 1.409A-1(b)(i)(B)(2),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the Fair Market Value of a Share on the date of grant of the Stock Appreciation Right; times</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26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with respect to which the Stock Appreciation Right is exercised.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8, Shares of Restricted Stock may not be sold, transferred, pledged, assigned, or otherwise alienated or hypothecated until such Shares become non-forfeitable at the end of the applicable Period of Restriction.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8"/>
        <w:gridCol w:w="100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4"/>
        <w:gridCol w:w="100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 in a manner not prohibited by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
        <w:gridCol w:w="100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specified in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
        <w:gridCol w:w="100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7"/>
        <w:gridCol w:w="100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1"/>
        <w:gridCol w:w="100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Units/Shares will be forfeited to the Company, and again will be available for grant under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w:t>
      </w:r>
      <w:r>
        <w:rPr>
          <w:rFonts w:ascii="Times New Roman;Times;Serif" w:hAnsi="Times New Roman;Times;Serif"/>
          <w:b w:val="false"/>
          <w:i w:val="false"/>
          <w:caps w:val="false"/>
          <w:smallCaps w:val="false"/>
          <w:sz w:val="20"/>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8"/>
        <w:gridCol w:w="100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Times;Serif" w:hAnsi="Times New Roman;Times;Serif"/>
                <w:b w:val="false"/>
                <w:i w:val="false"/>
                <w:caps w:val="false"/>
                <w:smallCaps w:val="false"/>
                <w:sz w:val="20"/>
                <w:u w:val="single"/>
              </w:rPr>
              <w:t>Successor Corporation</w:t>
            </w:r>
            <w:r>
              <w:rPr>
                <w:rFonts w:ascii="Times New Roman;Times;Serif" w:hAnsi="Times New Roman;Times;Serif"/>
                <w:b w:val="false"/>
                <w:i w:val="false"/>
                <w:caps w:val="false"/>
                <w:smallCaps w:val="false"/>
                <w:sz w:val="20"/>
              </w:rPr>
              <w:t>”). The Administrator will not be required to treat all Awards similarly in the transaction.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 Withholding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Administrator may at any time amend, alter, suspend, or terminate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Subject to Section 21, the Company will obtain stockholder approval of the Plan and any Plan amendment to the extent necessary or desirable to comply with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3"/>
        <w:gridCol w:w="100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Notwithstanding any other provisions of the Plan, no Awards shall be exercisable until the date of such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Notification of Election Under Section 83 of the Code</w:t>
      </w:r>
      <w:r>
        <w:rPr>
          <w:rFonts w:ascii="Times New Roman;Times;Serif" w:hAnsi="Times New Roman;Times;Serif"/>
          <w:b w:val="false"/>
          <w:i w:val="false"/>
          <w:caps w:val="false"/>
          <w:smallCaps w:val="false"/>
          <w:sz w:val="20"/>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Notification Upon Disqualifying Disposition Under Section 421(b) of the Code</w:t>
      </w:r>
      <w:r>
        <w:rPr>
          <w:rFonts w:ascii="Times New Roman;Times;Serif" w:hAnsi="Times New Roman;Times;Serif"/>
          <w:b w:val="false"/>
          <w:i w:val="false"/>
          <w:caps w:val="false"/>
          <w:smallCaps w:val="false"/>
          <w:sz w:val="20"/>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409A Timing Rule for Specified Employees</w:t>
      </w:r>
      <w:r>
        <w:rPr>
          <w:rFonts w:ascii="Times New Roman;Times;Serif" w:hAnsi="Times New Roman;Times;Serif"/>
          <w:b w:val="false"/>
          <w:i w:val="false"/>
          <w:caps w:val="false"/>
          <w:smallCaps w:val="false"/>
          <w:sz w:val="20"/>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 of the State of Delaware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4"/>
        <w:gridCol w:w="100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Other Compensation Arrangements. </w:t>
            </w:r>
            <w:r>
              <w:rPr>
                <w:rFonts w:ascii="Times New Roman;Times;Serif" w:hAnsi="Times New Roman;Times;Serif"/>
                <w:b w:val="false"/>
                <w:i w:val="false"/>
                <w:caps w:val="false"/>
                <w:smallCaps w:val="false"/>
                <w:sz w:val="20"/>
              </w:rPr>
              <w:t>Nothing contained in this Plan shall prevent the Board from adopting other or additional compensation arrangements, subject to stockholder approval is required; and such arrangements may be either generally applicable or applicable only in specific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3"/>
        <w:gridCol w:w="100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Disqualifying Dispositions. </w:t>
            </w:r>
            <w:r>
              <w:rPr>
                <w:rFonts w:ascii="Times New Roman;Times;Serif" w:hAnsi="Times New Roman;Times;Serif"/>
                <w:b w:val="false"/>
                <w:i w:val="false"/>
                <w:caps w:val="false"/>
                <w:smallCaps w:val="false"/>
                <w:sz w:val="20"/>
              </w:rPr>
              <w:t>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xml:space="preserve"> Each Stock Option Agreement and Stock Purchase Agreement shall provide that no shares shall be purchased or sold thereunder unless and until (i) any then applicable requirements of state or federal laws and regulatory agencies shall have been fully complied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3"/>
        <w:gridCol w:w="100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470" w:name="ex31-1.htm"/>
      <w:bookmarkStart w:id="471" w:name="ksex311"/>
      <w:bookmarkEnd w:id="470"/>
      <w:bookmarkEnd w:id="47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S. Yu,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Kairos Pharma,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335"/>
        <w:gridCol w:w="516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John S. Yu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 Yu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 of Directors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472" w:name="ex31-2.htm"/>
      <w:bookmarkStart w:id="473" w:name="ksex312"/>
      <w:bookmarkEnd w:id="472"/>
      <w:bookmarkEnd w:id="47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Samuelson,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Kairos Pharma,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740"/>
        <w:gridCol w:w="75"/>
      </w:tblGrid>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7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Douglas Samuelson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Douglas Samuelson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474" w:name="ex32-1.htm"/>
      <w:bookmarkStart w:id="475" w:name="ksex321"/>
      <w:bookmarkEnd w:id="474"/>
      <w:bookmarkEnd w:id="475"/>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Kairos Pharma, Ltd. (the “Company”) on Form 10-Q pursuant to Rule 15d-2 under the Securities Exchange Act of 1934, as filed with the Securities and Exchange Commission on the date hereof (the “Report”), I, John S. Yu, Chief Executive Officer of the Company, certify, pursuant to 18 U.S.C. Section 1350, as adopted pursuant to Section 906 of the Sarbanes-Oxley Act of 2002, that: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jc w:val="both"/>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5180"/>
        <w:gridCol w:w="75"/>
      </w:tblGrid>
      <w:tr>
        <w:trPr/>
        <w:tc>
          <w:tcPr>
            <w:tcW w:w="5180" w:type="dxa"/>
            <w:tcBorders>
              <w:bottom w:val="single" w:sz="8"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John S. Yu</w:t>
            </w:r>
          </w:p>
        </w:tc>
        <w:tc>
          <w:tcPr>
            <w:tcW w:w="75" w:type="dxa"/>
            <w:tcBorders/>
            <w:tcMar>
              <w:bottom w:w="0" w:type="dxa"/>
            </w:tcMar>
            <w:vAlign w:val="center"/>
          </w:tcPr>
          <w:p>
            <w:pPr>
              <w:pStyle w:val="TableContents"/>
              <w:bidi w:val="0"/>
              <w:spacing w:before="0" w:after="283"/>
              <w:jc w:val="left"/>
              <w:rPr/>
            </w:pPr>
            <w:r>
              <w:rPr/>
              <w:t> </w:t>
            </w:r>
          </w:p>
        </w:tc>
      </w:tr>
      <w:tr>
        <w:trPr/>
        <w:tc>
          <w:tcPr>
            <w:tcW w:w="51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John S. Yu</w:t>
            </w:r>
          </w:p>
        </w:tc>
        <w:tc>
          <w:tcPr>
            <w:tcW w:w="75" w:type="dxa"/>
            <w:tcBorders/>
            <w:tcMar>
              <w:bottom w:w="0" w:type="dxa"/>
            </w:tcMar>
            <w:vAlign w:val="center"/>
          </w:tcPr>
          <w:p>
            <w:pPr>
              <w:pStyle w:val="TableContents"/>
              <w:bidi w:val="0"/>
              <w:spacing w:before="0" w:after="283"/>
              <w:jc w:val="left"/>
              <w:rPr/>
            </w:pPr>
            <w:r>
              <w:rPr/>
              <w:t> </w:t>
            </w:r>
          </w:p>
        </w:tc>
      </w:tr>
      <w:tr>
        <w:trPr/>
        <w:tc>
          <w:tcPr>
            <w:tcW w:w="51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Chairman of the Board of Directors</w:t>
            </w:r>
          </w:p>
        </w:tc>
        <w:tc>
          <w:tcPr>
            <w:tcW w:w="75" w:type="dxa"/>
            <w:tcBorders/>
            <w:tcMar>
              <w:bottom w:w="0" w:type="dxa"/>
            </w:tcMar>
            <w:vAlign w:val="center"/>
          </w:tcPr>
          <w:p>
            <w:pPr>
              <w:pStyle w:val="TableContents"/>
              <w:bidi w:val="0"/>
              <w:spacing w:before="0" w:after="283"/>
              <w:jc w:val="left"/>
              <w:rPr/>
            </w:pPr>
            <w:r>
              <w:rPr/>
              <w:t> </w:t>
            </w:r>
          </w:p>
        </w:tc>
      </w:tr>
      <w:tr>
        <w:trPr/>
        <w:tc>
          <w:tcPr>
            <w:tcW w:w="518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476" w:name="ex32-2.htm"/>
      <w:bookmarkStart w:id="477" w:name="ksex322"/>
      <w:bookmarkEnd w:id="476"/>
      <w:bookmarkEnd w:id="47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Kairos Pharma, Ltd. (the “Company”) on Form 10-Q pursuant to Rule 15d-2 under the Securities Exchange Act of 1934, as filed with the Securities and Exchange Commission on the date hereof (the “Report”), I, Douglas Samuelson, Chief Financial Officer of the Company, certify, pursuant to 18 U.S.C. Section 1350, as adopted pursuant to Section 906 of the Sarbanes-Oxley Act of 2002, that: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jc w:val="both"/>
        <w:rPr>
          <w:caps w:val="false"/>
          <w:smallCaps w:val="false"/>
        </w:rPr>
      </w:pPr>
      <w:r>
        <w:rPr>
          <w:caps w:val="false"/>
          <w:smallCaps w:val="false"/>
        </w:rPr>
        <w:t> </w:t>
      </w:r>
    </w:p>
    <w:tbl>
      <w:tblPr>
        <w:tblW w:w="3830" w:type="dxa"/>
        <w:jc w:val="left"/>
        <w:tblInd w:w="0" w:type="dxa"/>
        <w:tblLayout w:type="fixed"/>
        <w:tblCellMar>
          <w:top w:w="0" w:type="dxa"/>
          <w:left w:w="0" w:type="dxa"/>
          <w:bottom w:w="28" w:type="dxa"/>
          <w:right w:w="0" w:type="dxa"/>
        </w:tblCellMar>
      </w:tblPr>
      <w:tblGrid>
        <w:gridCol w:w="3755"/>
        <w:gridCol w:w="75"/>
      </w:tblGrid>
      <w:tr>
        <w:trPr/>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Douglas Samuelson</w:t>
            </w:r>
          </w:p>
        </w:tc>
        <w:tc>
          <w:tcPr>
            <w:tcW w:w="75"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Samuelson</w:t>
            </w:r>
          </w:p>
        </w:tc>
        <w:tc>
          <w:tcPr>
            <w:tcW w:w="75"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2011/000149315223034915/ex3-5.htm" TargetMode="External"/><Relationship Id="rId3" Type="http://schemas.openxmlformats.org/officeDocument/2006/relationships/hyperlink" Target="https://www.sec.gov/Archives/edgar/data/1962011/000149315223034915/ex3-6.htm" TargetMode="External"/><Relationship Id="rId4" Type="http://schemas.openxmlformats.org/officeDocument/2006/relationships/hyperlink" Target="https://www.sec.gov/Archives/edgar/data/1962011/000149315224017318/ex4-1.htm" TargetMode="External"/><Relationship Id="rId5" Type="http://schemas.openxmlformats.org/officeDocument/2006/relationships/hyperlink" Target="https://www.sec.gov/Archives/edgar/data/1962011/000149315226034185/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26033</Words>
  <Characters>138520</Characters>
  <CharactersWithSpaces>166175</CharactersWithSpaces>
  <Paragraphs>4995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