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297180</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353060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22" w:lineRule="exact"/>
        <w:rPr>
          <w:sz w:val="24"/>
          <w:szCs w:val="24"/>
          <w:color w:val="auto"/>
        </w:rPr>
      </w:pPr>
    </w:p>
    <w:p>
      <w:pPr>
        <w:jc w:val="center"/>
        <w:ind w:left="3940" w:right="1260" w:hanging="2681"/>
        <w:spacing w:after="0" w:line="495" w:lineRule="auto"/>
        <w:tabs>
          <w:tab w:leader="none" w:pos="14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8" w:lineRule="exact"/>
        <w:rPr>
          <w:sz w:val="24"/>
          <w:szCs w:val="24"/>
          <w:color w:val="auto"/>
        </w:rPr>
      </w:pPr>
    </w:p>
    <w:p>
      <w:pPr>
        <w:jc w:val="center"/>
        <w:ind w:left="3480" w:right="1240" w:hanging="2229"/>
        <w:spacing w:after="0" w:line="497" w:lineRule="auto"/>
        <w:tabs>
          <w:tab w:leader="none" w:pos="1443"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1" w:lineRule="exact"/>
        <w:rPr>
          <w:rFonts w:ascii="MS PGothic" w:cs="MS PGothic" w:eastAsia="MS PGothic" w:hAnsi="MS PGothic"/>
          <w:sz w:val="17"/>
          <w:szCs w:val="17"/>
          <w:color w:val="auto"/>
          <w:highlight w:val="black"/>
        </w:rPr>
      </w:pPr>
    </w:p>
    <w:p>
      <w:pPr>
        <w:ind w:left="43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Commission File Number: 001-42275</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369"/>
        </w:trPr>
        <w:tc>
          <w:tcPr>
            <w:tcW w:w="3860" w:type="dxa"/>
            <w:vAlign w:val="bottom"/>
          </w:tcPr>
          <w:p>
            <w:pPr>
              <w:spacing w:after="0"/>
              <w:rPr>
                <w:sz w:val="24"/>
                <w:szCs w:val="24"/>
                <w:color w:val="auto"/>
              </w:rPr>
            </w:pPr>
          </w:p>
        </w:tc>
        <w:tc>
          <w:tcPr>
            <w:tcW w:w="7380" w:type="dxa"/>
            <w:vAlign w:val="bottom"/>
            <w:gridSpan w:val="3"/>
          </w:tcPr>
          <w:p>
            <w:pPr>
              <w:jc w:val="center"/>
              <w:ind w:right="3756"/>
              <w:spacing w:after="0"/>
              <w:rPr>
                <w:sz w:val="20"/>
                <w:szCs w:val="20"/>
                <w:color w:val="auto"/>
              </w:rPr>
            </w:pPr>
            <w:r>
              <w:rPr>
                <w:rFonts w:ascii="Times New Roman" w:cs="Times New Roman" w:eastAsia="Times New Roman" w:hAnsi="Times New Roman"/>
                <w:sz w:val="30"/>
                <w:szCs w:val="30"/>
                <w:b w:val="1"/>
                <w:bCs w:val="1"/>
                <w:color w:val="auto"/>
              </w:rPr>
              <w:t>KAIROS PHARMA, LTD.</w:t>
            </w:r>
          </w:p>
        </w:tc>
      </w:tr>
      <w:tr>
        <w:trPr>
          <w:trHeight w:val="218"/>
        </w:trPr>
        <w:tc>
          <w:tcPr>
            <w:tcW w:w="3860" w:type="dxa"/>
            <w:vAlign w:val="bottom"/>
          </w:tcPr>
          <w:p>
            <w:pPr>
              <w:spacing w:after="0"/>
              <w:rPr>
                <w:sz w:val="18"/>
                <w:szCs w:val="18"/>
                <w:color w:val="auto"/>
              </w:rPr>
            </w:pPr>
          </w:p>
        </w:tc>
        <w:tc>
          <w:tcPr>
            <w:tcW w:w="7380" w:type="dxa"/>
            <w:vAlign w:val="bottom"/>
            <w:gridSpan w:val="3"/>
          </w:tcPr>
          <w:p>
            <w:pPr>
              <w:jc w:val="center"/>
              <w:ind w:right="3776"/>
              <w:spacing w:after="0"/>
              <w:rPr>
                <w:sz w:val="20"/>
                <w:szCs w:val="20"/>
                <w:color w:val="auto"/>
              </w:rPr>
            </w:pPr>
            <w:r>
              <w:rPr>
                <w:rFonts w:ascii="Times New Roman" w:cs="Times New Roman" w:eastAsia="Times New Roman" w:hAnsi="Times New Roman"/>
                <w:sz w:val="17"/>
                <w:szCs w:val="17"/>
                <w:color w:val="auto"/>
                <w:w w:val="99"/>
              </w:rPr>
              <w:t>(Exact name of registrant as specified in its charter)</w:t>
            </w:r>
          </w:p>
        </w:tc>
      </w:tr>
      <w:tr>
        <w:trPr>
          <w:trHeight w:val="403"/>
        </w:trPr>
        <w:tc>
          <w:tcPr>
            <w:tcW w:w="3860" w:type="dxa"/>
            <w:vAlign w:val="bottom"/>
          </w:tcPr>
          <w:p>
            <w:pPr>
              <w:jc w:val="center"/>
              <w:ind w:left="1696"/>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7"/>
                <w:szCs w:val="17"/>
                <w:b w:val="1"/>
                <w:bCs w:val="1"/>
                <w:color w:val="auto"/>
                <w:w w:val="99"/>
              </w:rPr>
              <w:t>46-2993314</w:t>
            </w:r>
          </w:p>
        </w:tc>
      </w:tr>
      <w:tr>
        <w:trPr>
          <w:trHeight w:val="178"/>
        </w:trPr>
        <w:tc>
          <w:tcPr>
            <w:tcW w:w="3860" w:type="dxa"/>
            <w:vAlign w:val="bottom"/>
            <w:tcBorders>
              <w:top w:val="single" w:sz="8" w:color="auto"/>
            </w:tcBorders>
          </w:tcPr>
          <w:p>
            <w:pPr>
              <w:jc w:val="center"/>
              <w:ind w:left="1696"/>
              <w:spacing w:after="0" w:line="178" w:lineRule="exact"/>
              <w:rPr>
                <w:sz w:val="20"/>
                <w:szCs w:val="20"/>
                <w:color w:val="auto"/>
              </w:rPr>
            </w:pPr>
            <w:r>
              <w:rPr>
                <w:rFonts w:ascii="Times New Roman" w:cs="Times New Roman" w:eastAsia="Times New Roman" w:hAnsi="Times New Roman"/>
                <w:sz w:val="17"/>
                <w:szCs w:val="17"/>
                <w:color w:val="auto"/>
                <w:w w:val="99"/>
              </w:rPr>
              <w:t>(State or other jurisdiction of</w:t>
            </w:r>
          </w:p>
        </w:tc>
        <w:tc>
          <w:tcPr>
            <w:tcW w:w="1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3860" w:type="dxa"/>
            <w:vAlign w:val="bottom"/>
          </w:tcPr>
          <w:p>
            <w:pPr>
              <w:jc w:val="center"/>
              <w:ind w:left="1676"/>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83"/>
        </w:trPr>
        <w:tc>
          <w:tcPr>
            <w:tcW w:w="3860" w:type="dxa"/>
            <w:vAlign w:val="bottom"/>
          </w:tcPr>
          <w:p>
            <w:pPr>
              <w:spacing w:after="0"/>
              <w:rPr>
                <w:sz w:val="24"/>
                <w:szCs w:val="24"/>
                <w:color w:val="auto"/>
              </w:rPr>
            </w:pPr>
          </w:p>
        </w:tc>
        <w:tc>
          <w:tcPr>
            <w:tcW w:w="7380" w:type="dxa"/>
            <w:vAlign w:val="bottom"/>
            <w:gridSpan w:val="3"/>
          </w:tcPr>
          <w:p>
            <w:pPr>
              <w:jc w:val="center"/>
              <w:ind w:right="3776"/>
              <w:spacing w:after="0"/>
              <w:rPr>
                <w:sz w:val="20"/>
                <w:szCs w:val="20"/>
                <w:color w:val="auto"/>
              </w:rPr>
            </w:pPr>
            <w:r>
              <w:rPr>
                <w:rFonts w:ascii="Times New Roman" w:cs="Times New Roman" w:eastAsia="Times New Roman" w:hAnsi="Times New Roman"/>
                <w:sz w:val="17"/>
                <w:szCs w:val="17"/>
                <w:b w:val="1"/>
                <w:bCs w:val="1"/>
                <w:color w:val="auto"/>
                <w:w w:val="98"/>
              </w:rPr>
              <w:t>2355 Westwood Blvd., #139</w:t>
            </w:r>
          </w:p>
        </w:tc>
      </w:tr>
      <w:tr>
        <w:trPr>
          <w:trHeight w:val="206"/>
        </w:trPr>
        <w:tc>
          <w:tcPr>
            <w:tcW w:w="3860" w:type="dxa"/>
            <w:vAlign w:val="bottom"/>
          </w:tcPr>
          <w:p>
            <w:pPr>
              <w:spacing w:after="0"/>
              <w:rPr>
                <w:sz w:val="17"/>
                <w:szCs w:val="17"/>
                <w:color w:val="auto"/>
              </w:rPr>
            </w:pPr>
          </w:p>
        </w:tc>
        <w:tc>
          <w:tcPr>
            <w:tcW w:w="7380" w:type="dxa"/>
            <w:vAlign w:val="bottom"/>
            <w:gridSpan w:val="3"/>
          </w:tcPr>
          <w:p>
            <w:pPr>
              <w:jc w:val="center"/>
              <w:ind w:right="3776"/>
              <w:spacing w:after="0"/>
              <w:rPr>
                <w:sz w:val="20"/>
                <w:szCs w:val="20"/>
                <w:color w:val="auto"/>
              </w:rPr>
            </w:pPr>
            <w:r>
              <w:rPr>
                <w:rFonts w:ascii="Times New Roman" w:cs="Times New Roman" w:eastAsia="Times New Roman" w:hAnsi="Times New Roman"/>
                <w:sz w:val="17"/>
                <w:szCs w:val="17"/>
                <w:b w:val="1"/>
                <w:bCs w:val="1"/>
                <w:color w:val="auto"/>
                <w:w w:val="98"/>
              </w:rPr>
              <w:t>Los Angeles CA 90064</w:t>
            </w:r>
          </w:p>
        </w:tc>
      </w:tr>
      <w:tr>
        <w:trPr>
          <w:trHeight w:val="218"/>
        </w:trPr>
        <w:tc>
          <w:tcPr>
            <w:tcW w:w="3860" w:type="dxa"/>
            <w:vAlign w:val="bottom"/>
          </w:tcPr>
          <w:p>
            <w:pPr>
              <w:spacing w:after="0"/>
              <w:rPr>
                <w:sz w:val="18"/>
                <w:szCs w:val="18"/>
                <w:color w:val="auto"/>
              </w:rPr>
            </w:pPr>
          </w:p>
        </w:tc>
        <w:tc>
          <w:tcPr>
            <w:tcW w:w="7380" w:type="dxa"/>
            <w:vAlign w:val="bottom"/>
            <w:gridSpan w:val="3"/>
          </w:tcPr>
          <w:p>
            <w:pPr>
              <w:jc w:val="center"/>
              <w:ind w:right="3776"/>
              <w:spacing w:after="0"/>
              <w:rPr>
                <w:sz w:val="20"/>
                <w:szCs w:val="20"/>
                <w:color w:val="auto"/>
              </w:rPr>
            </w:pPr>
            <w:r>
              <w:rPr>
                <w:rFonts w:ascii="Times New Roman" w:cs="Times New Roman" w:eastAsia="Times New Roman" w:hAnsi="Times New Roman"/>
                <w:sz w:val="17"/>
                <w:szCs w:val="17"/>
                <w:color w:val="auto"/>
                <w:w w:val="98"/>
              </w:rPr>
              <w:t>(Address of principal executive offices) (Zip Code)</w:t>
            </w: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(310) 948-2356</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40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10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120" w:type="dxa"/>
            <w:vAlign w:val="bottom"/>
          </w:tcPr>
          <w:p>
            <w:pPr>
              <w:spacing w:after="0"/>
              <w:rPr>
                <w:sz w:val="24"/>
                <w:szCs w:val="24"/>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Common Stock, par value $0.001 per share</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KAPA</w:t>
            </w:r>
          </w:p>
        </w:tc>
        <w:tc>
          <w:tcPr>
            <w:tcW w:w="12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NYSE American</w:t>
            </w:r>
          </w:p>
        </w:tc>
      </w:tr>
    </w:tbl>
    <w:p>
      <w:pPr>
        <w:spacing w:after="0" w:line="169"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25" w:right="339" w:bottom="1440" w:gutter="0" w:footer="0" w:header="0"/>
        </w:sectPr>
      </w:pPr>
    </w:p>
    <w:p>
      <w:pPr>
        <w:spacing w:after="0" w:line="13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ind w:left="70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500" w:space="720"/>
            <w:col w:w="2020"/>
          </w:cols>
          <w:pgMar w:left="320" w:top="725" w:right="339" w:bottom="1440" w:gutter="0" w:footer="0" w:header="0"/>
          <w:type w:val="continuous"/>
        </w:sectPr>
      </w:pPr>
    </w:p>
    <w:p>
      <w:pPr>
        <w:spacing w:after="0" w:line="1"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issued and outstanding of the registrant’s common stock on May 11, 2026 was 21,411,198.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40" w:type="dxa"/>
            <w:vAlign w:val="bottom"/>
            <w:gridSpan w:val="8"/>
          </w:tcPr>
          <w:p>
            <w:pPr>
              <w:jc w:val="center"/>
              <w:ind w:right="1860"/>
              <w:spacing w:after="0"/>
              <w:rPr>
                <w:sz w:val="20"/>
                <w:szCs w:val="20"/>
                <w:color w:val="auto"/>
              </w:rPr>
            </w:pPr>
            <w:r>
              <w:rPr>
                <w:rFonts w:ascii="Times New Roman" w:cs="Times New Roman" w:eastAsia="Times New Roman" w:hAnsi="Times New Roman"/>
                <w:sz w:val="17"/>
                <w:szCs w:val="17"/>
                <w:b w:val="1"/>
                <w:bCs w:val="1"/>
                <w:color w:val="auto"/>
                <w:w w:val="98"/>
              </w:rPr>
              <w:t>KAIROS PHARMA, LTD.</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6"/>
          </w:tcPr>
          <w:p>
            <w:pPr>
              <w:jc w:val="center"/>
              <w:ind w:right="376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3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w:t>
            </w:r>
          </w:p>
        </w:tc>
        <w:tc>
          <w:tcPr>
            <w:tcW w:w="97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720" w:type="dxa"/>
            <w:vAlign w:val="bottom"/>
            <w:gridSpan w:val="17"/>
          </w:tcPr>
          <w:p>
            <w:pPr>
              <w:spacing w:after="0" w:line="164" w:lineRule="exact"/>
              <w:rPr>
                <w:sz w:val="20"/>
                <w:szCs w:val="20"/>
                <w:color w:val="auto"/>
              </w:rPr>
            </w:pPr>
            <w:r>
              <w:rPr>
                <w:rFonts w:ascii="Times New Roman" w:cs="Times New Roman" w:eastAsia="Times New Roman" w:hAnsi="Times New Roman"/>
                <w:sz w:val="17"/>
                <w:szCs w:val="17"/>
                <w:color w:val="0000EE"/>
              </w:rPr>
              <w:t>Unaudited Condensed Consolidated Balance Sheets as of March 31, 2026 and December 31, 2025</w:t>
            </w:r>
          </w:p>
        </w:tc>
        <w:tc>
          <w:tcPr>
            <w:tcW w:w="920" w:type="dxa"/>
            <w:vAlign w:val="bottom"/>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5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9720" w:type="dxa"/>
            <w:vAlign w:val="bottom"/>
            <w:gridSpan w:val="1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Unaudited Condensed Consolidated Statements of Operations for the Three Months Ended March 31, 2026 and 2025</w:t>
            </w:r>
          </w:p>
        </w:tc>
        <w:tc>
          <w:tcPr>
            <w:tcW w:w="920" w:type="dxa"/>
            <w:vAlign w:val="bottom"/>
            <w:shd w:val="clear" w:color="auto" w:fill="CCEEFF"/>
          </w:tcPr>
          <w:p>
            <w:pPr>
              <w:jc w:val="center"/>
              <w:ind w:left="236"/>
              <w:spacing w:after="0" w:line="173"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56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340" w:type="dxa"/>
            <w:vAlign w:val="bottom"/>
            <w:tcBorders>
              <w:right w:val="single" w:sz="8" w:color="CCEEFF"/>
            </w:tcBorders>
            <w:shd w:val="clear" w:color="auto" w:fill="0000EE"/>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7"/>
                <w:szCs w:val="17"/>
                <w:color w:val="0000EE"/>
                <w:w w:val="98"/>
              </w:rPr>
              <w:t>Unaudited Condensed Consolidated Statements of Shareholders’ Equity (Deficit) for the Three Months Ended March 31, 2026 and 2025</w:t>
            </w:r>
          </w:p>
        </w:tc>
        <w:tc>
          <w:tcPr>
            <w:tcW w:w="520" w:type="dxa"/>
            <w:vAlign w:val="bottom"/>
          </w:tcPr>
          <w:p>
            <w:pPr>
              <w:spacing w:after="0"/>
              <w:rPr>
                <w:sz w:val="15"/>
                <w:szCs w:val="15"/>
                <w:color w:val="auto"/>
              </w:rPr>
            </w:pPr>
          </w:p>
        </w:tc>
        <w:tc>
          <w:tcPr>
            <w:tcW w:w="920" w:type="dxa"/>
            <w:vAlign w:val="bottom"/>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7940" w:type="dxa"/>
            <w:vAlign w:val="bottom"/>
            <w:tcBorders>
              <w:bottom w:val="single" w:sz="8" w:color="0000EE"/>
              <w:right w:val="single" w:sz="8" w:color="CCEEFF"/>
            </w:tcBorders>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Unaudited Condensed Consolidated Statements of Cash Flows for the Three Months Ended March 31, 2026 and 2025</w:t>
            </w:r>
          </w:p>
        </w:tc>
        <w:tc>
          <w:tcPr>
            <w:tcW w:w="178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ind w:left="236"/>
              <w:spacing w:after="0" w:line="173" w:lineRule="exact"/>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80" w:type="dxa"/>
            <w:vAlign w:val="bottom"/>
            <w:tcBorders>
              <w:bottom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7"/>
                <w:szCs w:val="17"/>
                <w:color w:val="0000EE"/>
                <w:w w:val="98"/>
              </w:rPr>
              <w:t>Notes to Unaudited Condensed Consolidated Financial Statements</w:t>
            </w:r>
          </w:p>
        </w:tc>
        <w:tc>
          <w:tcPr>
            <w:tcW w:w="5240" w:type="dxa"/>
            <w:vAlign w:val="bottom"/>
            <w:gridSpan w:val="5"/>
          </w:tcPr>
          <w:p>
            <w:pPr>
              <w:spacing w:after="0"/>
              <w:rPr>
                <w:sz w:val="14"/>
                <w:szCs w:val="14"/>
                <w:color w:val="auto"/>
              </w:rPr>
            </w:pPr>
          </w:p>
        </w:tc>
        <w:tc>
          <w:tcPr>
            <w:tcW w:w="920" w:type="dxa"/>
            <w:vAlign w:val="bottom"/>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 w:type="dxa"/>
            <w:vAlign w:val="bottom"/>
            <w:tcBorders>
              <w:bottom w:val="single" w:sz="8" w:color="CCEEFF"/>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2.</w:t>
            </w:r>
          </w:p>
        </w:tc>
        <w:tc>
          <w:tcPr>
            <w:tcW w:w="6040" w:type="dxa"/>
            <w:vAlign w:val="bottom"/>
            <w:tcBorders>
              <w:bottom w:val="single" w:sz="8" w:color="0000EE"/>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Management’s Discussion and Analysis of Financial Condition and Results of Operations</w:t>
            </w:r>
          </w:p>
        </w:tc>
        <w:tc>
          <w:tcPr>
            <w:tcW w:w="3680" w:type="dxa"/>
            <w:vAlign w:val="bottom"/>
            <w:tcBorders>
              <w:bottom w:val="single" w:sz="8" w:color="CCEEFF"/>
            </w:tcBorders>
            <w:gridSpan w:val="4"/>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left="236"/>
              <w:spacing w:after="0" w:line="182" w:lineRule="exact"/>
              <w:rPr>
                <w:sz w:val="20"/>
                <w:szCs w:val="20"/>
                <w:color w:val="auto"/>
              </w:rPr>
            </w:pPr>
            <w:r>
              <w:rPr>
                <w:rFonts w:ascii="Times New Roman" w:cs="Times New Roman" w:eastAsia="Times New Roman" w:hAnsi="Times New Roman"/>
                <w:sz w:val="17"/>
                <w:szCs w:val="17"/>
                <w:color w:val="auto"/>
                <w:w w:val="93"/>
              </w:rPr>
              <w:t>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3</w:t>
            </w:r>
          </w:p>
        </w:tc>
        <w:tc>
          <w:tcPr>
            <w:tcW w:w="408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7"/>
                <w:szCs w:val="17"/>
                <w:color w:val="0000EE"/>
                <w:w w:val="98"/>
              </w:rPr>
              <w:t>Quantitative and Qualitative Disclosures About Market Risk</w:t>
            </w:r>
          </w:p>
        </w:tc>
        <w:tc>
          <w:tcPr>
            <w:tcW w:w="5640" w:type="dxa"/>
            <w:vAlign w:val="bottom"/>
            <w:gridSpan w:val="6"/>
          </w:tcPr>
          <w:p>
            <w:pPr>
              <w:spacing w:after="0"/>
              <w:rPr>
                <w:sz w:val="14"/>
                <w:szCs w:val="14"/>
                <w:color w:val="auto"/>
              </w:rPr>
            </w:pPr>
          </w:p>
        </w:tc>
        <w:tc>
          <w:tcPr>
            <w:tcW w:w="920" w:type="dxa"/>
            <w:vAlign w:val="bottom"/>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 w:type="dxa"/>
            <w:vAlign w:val="bottom"/>
            <w:tcBorders>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4.</w:t>
            </w:r>
          </w:p>
        </w:tc>
        <w:tc>
          <w:tcPr>
            <w:tcW w:w="972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Control and Procedures</w:t>
            </w:r>
          </w:p>
        </w:tc>
        <w:tc>
          <w:tcPr>
            <w:tcW w:w="920" w:type="dxa"/>
            <w:vAlign w:val="bottom"/>
            <w:shd w:val="clear" w:color="auto" w:fill="CCEEFF"/>
          </w:tcPr>
          <w:p>
            <w:pPr>
              <w:jc w:val="center"/>
              <w:ind w:left="236"/>
              <w:spacing w:after="0" w:line="182" w:lineRule="exact"/>
              <w:rPr>
                <w:sz w:val="20"/>
                <w:szCs w:val="20"/>
                <w:color w:val="auto"/>
              </w:rPr>
            </w:pPr>
            <w:r>
              <w:rPr>
                <w:rFonts w:ascii="Times New Roman" w:cs="Times New Roman" w:eastAsia="Times New Roman" w:hAnsi="Times New Roman"/>
                <w:sz w:val="17"/>
                <w:szCs w:val="17"/>
                <w:color w:val="auto"/>
                <w:w w:val="93"/>
              </w:rPr>
              <w:t>27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00" w:type="dxa"/>
            <w:vAlign w:val="bottom"/>
            <w:gridSpan w:val="18"/>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PART II - OTHER INFORMATION</w:t>
            </w:r>
          </w:p>
        </w:tc>
        <w:tc>
          <w:tcPr>
            <w:tcW w:w="920" w:type="dxa"/>
            <w:vAlign w:val="bottom"/>
            <w:shd w:val="clear" w:color="auto" w:fill="CCEEFF"/>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80" w:type="dxa"/>
            <w:vAlign w:val="bottom"/>
            <w:tcBorders>
              <w:bottom w:val="single" w:sz="8" w:color="CCEEFF"/>
              <w:right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w:t>
            </w:r>
          </w:p>
        </w:tc>
        <w:tc>
          <w:tcPr>
            <w:tcW w:w="1260" w:type="dxa"/>
            <w:vAlign w:val="bottom"/>
            <w:tcBorders>
              <w:bottom w:val="single" w:sz="8" w:color="0000EE"/>
            </w:tcBorders>
            <w:gridSpan w:val="5"/>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98"/>
              </w:rPr>
              <w:t>Legal Proceedings</w:t>
            </w:r>
          </w:p>
        </w:tc>
        <w:tc>
          <w:tcPr>
            <w:tcW w:w="8460" w:type="dxa"/>
            <w:vAlign w:val="bottom"/>
            <w:tcBorders>
              <w:bottom w:val="single" w:sz="8" w:color="CCEEFF"/>
            </w:tcBorders>
            <w:gridSpan w:val="1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w w:val="96"/>
              </w:rPr>
              <w:t>Item 1A</w:t>
            </w:r>
          </w:p>
        </w:tc>
        <w:tc>
          <w:tcPr>
            <w:tcW w:w="860" w:type="dxa"/>
            <w:vAlign w:val="bottom"/>
            <w:tcBorders>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8"/>
              </w:rPr>
              <w:t>Risk Factors</w:t>
            </w:r>
          </w:p>
        </w:tc>
        <w:tc>
          <w:tcPr>
            <w:tcW w:w="8860" w:type="dxa"/>
            <w:vAlign w:val="bottom"/>
            <w:gridSpan w:val="14"/>
          </w:tcPr>
          <w:p>
            <w:pPr>
              <w:spacing w:after="0"/>
              <w:rPr>
                <w:sz w:val="14"/>
                <w:szCs w:val="14"/>
                <w:color w:val="auto"/>
              </w:rPr>
            </w:pPr>
          </w:p>
        </w:tc>
        <w:tc>
          <w:tcPr>
            <w:tcW w:w="920" w:type="dxa"/>
            <w:vAlign w:val="bottom"/>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 w:type="dxa"/>
            <w:vAlign w:val="bottom"/>
            <w:tcBorders>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2.</w:t>
            </w:r>
          </w:p>
        </w:tc>
        <w:tc>
          <w:tcPr>
            <w:tcW w:w="972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920" w:type="dxa"/>
            <w:vAlign w:val="bottom"/>
            <w:shd w:val="clear" w:color="auto" w:fill="CCEEFF"/>
          </w:tcPr>
          <w:p>
            <w:pPr>
              <w:jc w:val="center"/>
              <w:ind w:left="236"/>
              <w:spacing w:after="0" w:line="182"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Borders>
              <w:top w:val="single" w:sz="8" w:color="CCEEFF"/>
            </w:tcBorders>
          </w:tcPr>
          <w:p>
            <w:pPr>
              <w:spacing w:after="0" w:line="164" w:lineRule="exact"/>
              <w:rPr>
                <w:sz w:val="20"/>
                <w:szCs w:val="20"/>
                <w:color w:val="auto"/>
              </w:rPr>
            </w:pPr>
            <w:r>
              <w:rPr>
                <w:rFonts w:ascii="Times New Roman" w:cs="Times New Roman" w:eastAsia="Times New Roman" w:hAnsi="Times New Roman"/>
                <w:sz w:val="17"/>
                <w:szCs w:val="17"/>
                <w:color w:val="auto"/>
              </w:rPr>
              <w:t>Item 3.</w:t>
            </w:r>
          </w:p>
        </w:tc>
        <w:tc>
          <w:tcPr>
            <w:tcW w:w="2180" w:type="dxa"/>
            <w:vAlign w:val="bottom"/>
            <w:tcBorders>
              <w:top w:val="single" w:sz="8" w:color="0000EE"/>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color w:val="0000EE"/>
                <w:w w:val="98"/>
              </w:rPr>
              <w:t>Defaults Upon Senior Securities</w:t>
            </w:r>
          </w:p>
        </w:tc>
        <w:tc>
          <w:tcPr>
            <w:tcW w:w="1880" w:type="dxa"/>
            <w:vAlign w:val="bottom"/>
            <w:tcBorders>
              <w:top w:val="single" w:sz="8" w:color="0000EE"/>
            </w:tcBorders>
          </w:tcPr>
          <w:p>
            <w:pPr>
              <w:spacing w:after="0"/>
              <w:rPr>
                <w:sz w:val="14"/>
                <w:szCs w:val="14"/>
                <w:color w:val="auto"/>
              </w:rPr>
            </w:pPr>
          </w:p>
        </w:tc>
        <w:tc>
          <w:tcPr>
            <w:tcW w:w="5660" w:type="dxa"/>
            <w:vAlign w:val="bottom"/>
            <w:tcBorders>
              <w:top w:val="single" w:sz="8" w:color="CCEEFF"/>
            </w:tcBorders>
            <w:gridSpan w:val="7"/>
          </w:tcPr>
          <w:p>
            <w:pPr>
              <w:spacing w:after="0"/>
              <w:rPr>
                <w:sz w:val="14"/>
                <w:szCs w:val="14"/>
                <w:color w:val="auto"/>
              </w:rPr>
            </w:pPr>
          </w:p>
        </w:tc>
        <w:tc>
          <w:tcPr>
            <w:tcW w:w="920" w:type="dxa"/>
            <w:vAlign w:val="bottom"/>
            <w:tcBorders>
              <w:top w:val="single" w:sz="8" w:color="CCEEFF"/>
            </w:tcBorders>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 w:type="dxa"/>
            <w:vAlign w:val="bottom"/>
            <w:tcBorders>
              <w:bottom w:val="single" w:sz="8" w:color="CCEEFF"/>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4.</w:t>
            </w:r>
          </w:p>
        </w:tc>
        <w:tc>
          <w:tcPr>
            <w:tcW w:w="1660" w:type="dxa"/>
            <w:vAlign w:val="bottom"/>
            <w:tcBorders>
              <w:bottom w:val="single" w:sz="8" w:color="0000EE"/>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Mine Safety Disclosures</w:t>
            </w:r>
          </w:p>
        </w:tc>
        <w:tc>
          <w:tcPr>
            <w:tcW w:w="8060" w:type="dxa"/>
            <w:vAlign w:val="bottom"/>
            <w:tcBorders>
              <w:bottom w:val="single" w:sz="8" w:color="CCEEFF"/>
            </w:tcBorders>
            <w:gridSpan w:val="10"/>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left="236"/>
              <w:spacing w:after="0" w:line="182"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5.</w:t>
            </w:r>
          </w:p>
        </w:tc>
        <w:tc>
          <w:tcPr>
            <w:tcW w:w="124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8"/>
              </w:rPr>
              <w:t>Other Information</w:t>
            </w:r>
          </w:p>
        </w:tc>
        <w:tc>
          <w:tcPr>
            <w:tcW w:w="8480" w:type="dxa"/>
            <w:vAlign w:val="bottom"/>
            <w:gridSpan w:val="13"/>
          </w:tcPr>
          <w:p>
            <w:pPr>
              <w:spacing w:after="0"/>
              <w:rPr>
                <w:sz w:val="14"/>
                <w:szCs w:val="14"/>
                <w:color w:val="auto"/>
              </w:rPr>
            </w:pPr>
          </w:p>
        </w:tc>
        <w:tc>
          <w:tcPr>
            <w:tcW w:w="920" w:type="dxa"/>
            <w:vAlign w:val="bottom"/>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 w:type="dxa"/>
            <w:vAlign w:val="bottom"/>
            <w:tcBorders>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6.</w:t>
            </w:r>
          </w:p>
        </w:tc>
        <w:tc>
          <w:tcPr>
            <w:tcW w:w="972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Exhibits</w:t>
            </w:r>
          </w:p>
        </w:tc>
        <w:tc>
          <w:tcPr>
            <w:tcW w:w="920" w:type="dxa"/>
            <w:vAlign w:val="bottom"/>
            <w:shd w:val="clear" w:color="auto" w:fill="CCEEFF"/>
          </w:tcPr>
          <w:p>
            <w:pPr>
              <w:jc w:val="center"/>
              <w:ind w:left="236"/>
              <w:spacing w:after="0" w:line="182" w:lineRule="exact"/>
              <w:rPr>
                <w:sz w:val="20"/>
                <w:szCs w:val="20"/>
                <w:color w:val="auto"/>
              </w:rPr>
            </w:pPr>
            <w:r>
              <w:rPr>
                <w:rFonts w:ascii="Times New Roman" w:cs="Times New Roman" w:eastAsia="Times New Roman" w:hAnsi="Times New Roman"/>
                <w:sz w:val="17"/>
                <w:szCs w:val="17"/>
                <w:color w:val="auto"/>
                <w:w w:val="93"/>
              </w:rPr>
              <w:t>29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300" w:type="dxa"/>
            <w:vAlign w:val="bottom"/>
            <w:gridSpan w:val="18"/>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SIGNATURES</w:t>
            </w:r>
          </w:p>
        </w:tc>
        <w:tc>
          <w:tcPr>
            <w:tcW w:w="920" w:type="dxa"/>
            <w:vAlign w:val="bottom"/>
            <w:shd w:val="clear" w:color="auto" w:fill="CCEEFF"/>
          </w:tcPr>
          <w:p>
            <w:pPr>
              <w:jc w:val="center"/>
              <w:ind w:left="236"/>
              <w:spacing w:after="0" w:line="164" w:lineRule="exact"/>
              <w:rPr>
                <w:sz w:val="20"/>
                <w:szCs w:val="20"/>
                <w:color w:val="auto"/>
              </w:rPr>
            </w:pPr>
            <w:r>
              <w:rPr>
                <w:rFonts w:ascii="Times New Roman" w:cs="Times New Roman" w:eastAsia="Times New Roman" w:hAnsi="Times New Roman"/>
                <w:sz w:val="17"/>
                <w:szCs w:val="17"/>
                <w:color w:val="auto"/>
                <w:w w:val="93"/>
              </w:rPr>
              <w:t>30</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12"/>
          </w:tcPr>
          <w:p>
            <w:pPr>
              <w:jc w:val="center"/>
              <w:ind w:left="3436"/>
              <w:spacing w:after="0"/>
              <w:rPr>
                <w:sz w:val="20"/>
                <w:szCs w:val="20"/>
                <w:color w:val="auto"/>
              </w:rPr>
            </w:pPr>
            <w:r>
              <w:rPr>
                <w:rFonts w:ascii="Times New Roman" w:cs="Times New Roman" w:eastAsia="Times New Roman" w:hAnsi="Times New Roman"/>
                <w:sz w:val="17"/>
                <w:szCs w:val="17"/>
                <w:color w:val="auto"/>
                <w:w w:val="93"/>
              </w:rPr>
              <w:t>2</w:t>
            </w:r>
          </w:p>
        </w:tc>
        <w:tc>
          <w:tcPr>
            <w:tcW w:w="56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Assets</w:t>
      </w:r>
    </w:p>
    <w:p>
      <w:pPr>
        <w:spacing w:after="0" w:line="26" w:lineRule="exact"/>
        <w:rPr>
          <w:sz w:val="20"/>
          <w:szCs w:val="20"/>
          <w:color w:val="auto"/>
        </w:rPr>
      </w:pPr>
    </w:p>
    <w:p>
      <w:pPr>
        <w:ind w:right="1040"/>
        <w:spacing w:after="0" w:line="263" w:lineRule="auto"/>
        <w:rPr>
          <w:sz w:val="20"/>
          <w:szCs w:val="20"/>
          <w:color w:val="auto"/>
        </w:rPr>
      </w:pPr>
      <w:r>
        <w:rPr>
          <w:rFonts w:ascii="Times New Roman" w:cs="Times New Roman" w:eastAsia="Times New Roman" w:hAnsi="Times New Roman"/>
          <w:sz w:val="16"/>
          <w:szCs w:val="16"/>
          <w:color w:val="auto"/>
        </w:rPr>
        <w:t>Cash and cash equivalents Vendor advances, net</w:t>
      </w:r>
    </w:p>
    <w:p>
      <w:pPr>
        <w:ind w:right="20"/>
        <w:spacing w:after="0" w:line="270" w:lineRule="auto"/>
        <w:rPr>
          <w:sz w:val="20"/>
          <w:szCs w:val="20"/>
          <w:color w:val="auto"/>
        </w:rPr>
      </w:pPr>
      <w:r>
        <w:rPr>
          <w:rFonts w:ascii="Times New Roman" w:cs="Times New Roman" w:eastAsia="Times New Roman" w:hAnsi="Times New Roman"/>
          <w:sz w:val="17"/>
          <w:szCs w:val="17"/>
          <w:color w:val="auto"/>
        </w:rPr>
        <w:t xml:space="preserve">Prepaid expenses and other current assets </w:t>
      </w:r>
      <w:r>
        <w:rPr>
          <w:rFonts w:ascii="Times New Roman" w:cs="Times New Roman" w:eastAsia="Times New Roman" w:hAnsi="Times New Roman"/>
          <w:sz w:val="17"/>
          <w:szCs w:val="17"/>
          <w:b w:val="1"/>
          <w:bCs w:val="1"/>
          <w:color w:val="auto"/>
        </w:rPr>
        <w:t>Total Current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offering costs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Other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ASSETS</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6"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6"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7"/>
          <w:szCs w:val="17"/>
          <w:color w:val="auto"/>
        </w:rPr>
        <w:t>(In thousands, except for share amounts and par value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6"/>
              </w:rPr>
              <w:t>March 31,</w:t>
            </w: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2"/>
        </w:trPr>
        <w:tc>
          <w:tcPr>
            <w:tcW w:w="4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3"/>
              </w:rPr>
              <w:t>2026</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gridSpan w:val="2"/>
            <w:vMerge w:val="restart"/>
          </w:tcPr>
          <w:p>
            <w:pPr>
              <w:jc w:val="right"/>
              <w:ind w:right="3940"/>
              <w:spacing w:after="0"/>
              <w:rPr>
                <w:sz w:val="20"/>
                <w:szCs w:val="20"/>
                <w:color w:val="auto"/>
              </w:rPr>
            </w:pPr>
            <w:r>
              <w:rPr>
                <w:rFonts w:ascii="Times New Roman" w:cs="Times New Roman" w:eastAsia="Times New Roman" w:hAnsi="Times New Roman"/>
                <w:sz w:val="17"/>
                <w:szCs w:val="17"/>
                <w:b w:val="1"/>
                <w:bCs w:val="1"/>
                <w:color w:val="auto"/>
                <w:w w:val="94"/>
              </w:rPr>
              <w:t>ASSETS</w:t>
            </w: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5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3,675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4,491</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625</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4,443</w:t>
            </w:r>
          </w:p>
        </w:tc>
        <w:tc>
          <w:tcPr>
            <w:tcW w:w="3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5,387</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1,279</w:t>
            </w:r>
          </w:p>
        </w:tc>
        <w:tc>
          <w:tcPr>
            <w:tcW w:w="16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3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4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5,744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6,540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-1624330</wp:posOffset>
            </wp:positionV>
            <wp:extent cx="714121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-1368425</wp:posOffset>
            </wp:positionV>
            <wp:extent cx="714121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-1112520</wp:posOffset>
            </wp:positionV>
            <wp:extent cx="7141210" cy="135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-840105</wp:posOffset>
            </wp:positionV>
            <wp:extent cx="7141210" cy="135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-575945</wp:posOffset>
            </wp:positionV>
            <wp:extent cx="7141210" cy="135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-303530</wp:posOffset>
            </wp:positionV>
            <wp:extent cx="7141210" cy="135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00" w:space="720"/>
            <w:col w:w="7720"/>
          </w:cols>
          <w:pgMar w:left="320" w:top="649"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7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431</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431</w:t>
            </w:r>
          </w:p>
        </w:tc>
        <w:tc>
          <w:tcPr>
            <w:tcW w:w="3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par value $0.001, 20,000,000 shares authorized; no shares issued and outstanding, respectively;</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Common stock, par value $0.001, 100,000,000 shares authorized; 21,411,198 and 20,821,353 shares issued and</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respectively;</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21,208</w:t>
            </w:r>
          </w:p>
        </w:tc>
        <w:tc>
          <w:tcPr>
            <w:tcW w:w="5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(15,916)</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(14,262)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8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5,313</w:t>
            </w:r>
          </w:p>
        </w:tc>
        <w:tc>
          <w:tcPr>
            <w:tcW w:w="34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6,341</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7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5,744</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680" w:type="dxa"/>
            <w:vAlign w:val="bottom"/>
            <w:gridSpan w:val="5"/>
          </w:tcPr>
          <w:p>
            <w:pPr>
              <w:jc w:val="center"/>
              <w:ind w:left="1456"/>
              <w:spacing w:after="0"/>
              <w:rPr>
                <w:sz w:val="20"/>
                <w:szCs w:val="20"/>
                <w:color w:val="auto"/>
              </w:rPr>
            </w:pPr>
            <w:r>
              <w:rPr>
                <w:rFonts w:ascii="Times New Roman" w:cs="Times New Roman" w:eastAsia="Times New Roman" w:hAnsi="Times New Roman"/>
                <w:sz w:val="17"/>
                <w:szCs w:val="17"/>
                <w:color w:val="auto"/>
                <w:w w:val="98"/>
              </w:rPr>
              <w:t>The accompanying notes are an integral part of these condensed consolidated financial statements.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680" w:type="dxa"/>
            <w:vAlign w:val="bottom"/>
            <w:tcBorders>
              <w:bottom w:val="single" w:sz="8" w:color="auto"/>
            </w:tcBorders>
          </w:tcPr>
          <w:p>
            <w:pPr>
              <w:jc w:val="right"/>
              <w:ind w:right="1956"/>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for share amounts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center"/>
              <w:ind w:left="636"/>
              <w:spacing w:after="0"/>
              <w:rPr>
                <w:sz w:val="20"/>
                <w:szCs w:val="20"/>
                <w:color w:val="auto"/>
              </w:rPr>
            </w:pPr>
            <w:r>
              <w:rPr>
                <w:rFonts w:ascii="Times New Roman" w:cs="Times New Roman" w:eastAsia="Times New Roman" w:hAnsi="Times New Roman"/>
                <w:sz w:val="17"/>
                <w:szCs w:val="17"/>
                <w:b w:val="1"/>
                <w:bCs w:val="1"/>
                <w:color w:val="auto"/>
                <w:w w:val="97"/>
              </w:rPr>
              <w:t>(Unaudited)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684</w:t>
            </w: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1,006</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17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1,690</w:t>
            </w:r>
          </w:p>
        </w:tc>
        <w:tc>
          <w:tcPr>
            <w:tcW w:w="34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1,266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(1,690)</w:t>
            </w:r>
          </w:p>
        </w:tc>
        <w:tc>
          <w:tcPr>
            <w:tcW w:w="4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(1,266)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6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other income</w:t>
            </w:r>
          </w:p>
        </w:tc>
        <w:tc>
          <w:tcPr>
            <w:tcW w:w="17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36</w:t>
            </w:r>
          </w:p>
        </w:tc>
        <w:tc>
          <w:tcPr>
            <w:tcW w:w="34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(1,654)</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(1,262)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1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LOSS PER COMMON SHARE</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(0.08)</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1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21,010,132</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15,875,485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4" w:name="page5"/>
    <w:bookmarkEnd w:id="4"/>
    <w:p>
      <w:pPr>
        <w:spacing w:after="0" w:line="195" w:lineRule="auto"/>
        <w:framePr w:w="2720" w:h="150" w:wrap="auto" w:vAnchor="page" w:hAnchor="page" w:x="280" w:y="7479"/>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March 31, 2025 (unaudited)</w:t>
      </w:r>
    </w:p>
    <w:p>
      <w:pPr>
        <w:spacing w:after="0" w:line="195" w:lineRule="auto"/>
        <w:framePr w:w="2840" w:h="150" w:wrap="auto" w:vAnchor="page" w:hAnchor="page" w:x="280" w:y="6647"/>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vested restricted stock units</w:t>
      </w:r>
    </w:p>
    <w:p>
      <w:pPr>
        <w:spacing w:after="0" w:line="195" w:lineRule="auto"/>
        <w:framePr w:w="2100" w:h="150" w:wrap="auto" w:vAnchor="page" w:hAnchor="page" w:x="280" w:y="4428"/>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December 31, 2024</w:t>
      </w:r>
    </w:p>
    <w:p>
      <w:pPr>
        <w:spacing w:after="0" w:line="195" w:lineRule="auto"/>
        <w:framePr w:w="2720" w:h="150" w:wrap="auto" w:vAnchor="page" w:hAnchor="page" w:x="280" w:y="3962"/>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March 31, 2026 (unaudited)</w:t>
      </w:r>
    </w:p>
    <w:p>
      <w:pPr>
        <w:spacing w:after="0" w:line="195" w:lineRule="auto"/>
        <w:framePr w:w="2840" w:h="150" w:wrap="auto" w:vAnchor="page" w:hAnchor="page" w:x="280" w:y="313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vested restricted stock units</w:t>
      </w:r>
    </w:p>
    <w:p>
      <w:pPr>
        <w:spacing w:after="0" w:line="195" w:lineRule="auto"/>
        <w:framePr w:w="2100" w:h="150" w:wrap="auto" w:vAnchor="page" w:hAnchor="page" w:x="280" w:y="2121"/>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December 31, 2025</w:t>
      </w:r>
    </w:p>
    <w:p>
      <w:pPr>
        <w:jc w:val="center"/>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6" w:lineRule="exact"/>
        <w:rPr>
          <w:rFonts w:ascii="Times New Roman" w:cs="Times New Roman" w:eastAsia="Times New Roman" w:hAnsi="Times New Roman"/>
          <w:sz w:val="16"/>
          <w:szCs w:val="16"/>
          <w:b w:val="1"/>
          <w:bCs w:val="1"/>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 (Unaudited)</w:t>
      </w:r>
    </w:p>
    <w:p>
      <w:pPr>
        <w:spacing w:after="0" w:line="6" w:lineRule="exact"/>
        <w:rPr>
          <w:rFonts w:ascii="Times New Roman" w:cs="Times New Roman" w:eastAsia="Times New Roman" w:hAnsi="Times New Roman"/>
          <w:sz w:val="16"/>
          <w:szCs w:val="16"/>
          <w:b w:val="1"/>
          <w:bCs w:val="1"/>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amounts)</w:t>
      </w:r>
    </w:p>
    <w:p>
      <w:pPr>
        <w:spacing w:after="0" w:line="210" w:lineRule="exact"/>
        <w:rPr>
          <w:rFonts w:ascii="Times New Roman" w:cs="Times New Roman" w:eastAsia="Times New Roman" w:hAnsi="Times New Roman"/>
          <w:sz w:val="16"/>
          <w:szCs w:val="16"/>
          <w:b w:val="1"/>
          <w:bCs w:val="1"/>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40" w:type="dxa"/>
            <w:vAlign w:val="bottom"/>
            <w:gridSpan w:val="6"/>
          </w:tcPr>
          <w:p>
            <w:pPr>
              <w:jc w:val="right"/>
              <w:ind w:right="108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Paid-in Capital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20,821,353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20,582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(14,262)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6,341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shares sold through the At the</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 (ATM) offering, net of offering costs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589,845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for the three months ended March 31, 2026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21,411,198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21,208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(15,916)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13,736,597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13,577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(8,815)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4,776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Proceeds from the sale of pre-funded warrants, net of</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3,056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Issuance of common shares upon the exercise of pre-</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funded warrants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Fair value of common shares to be issued for vendor</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 and deferred offering costs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78,521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for the three months ended March 31,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16,376,118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17,193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(10,077)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rFonts w:ascii="Times New Roman" w:cs="Times New Roman" w:eastAsia="Times New Roman" w:hAnsi="Times New Roman"/>
          <w:sz w:val="16"/>
          <w:szCs w:val="16"/>
          <w:b w:val="1"/>
          <w:bCs w:val="1"/>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8" w:lineRule="exact"/>
        <w:rPr>
          <w:rFonts w:ascii="Times New Roman" w:cs="Times New Roman" w:eastAsia="Times New Roman" w:hAnsi="Times New Roman"/>
          <w:sz w:val="16"/>
          <w:szCs w:val="16"/>
          <w:b w:val="1"/>
          <w:bCs w:val="1"/>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80" w:type="dxa"/>
            <w:vAlign w:val="bottom"/>
            <w:gridSpan w:val="4"/>
          </w:tcPr>
          <w:p>
            <w:pPr>
              <w:jc w:val="center"/>
              <w:ind w:left="396"/>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right="416"/>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3"/>
          </w:tcPr>
          <w:p>
            <w:pPr>
              <w:jc w:val="center"/>
              <w:ind w:right="416"/>
              <w:spacing w:after="0" w:line="194" w:lineRule="exact"/>
              <w:rPr>
                <w:sz w:val="20"/>
                <w:szCs w:val="20"/>
                <w:color w:val="auto"/>
              </w:rPr>
            </w:pPr>
            <w:r>
              <w:rPr>
                <w:rFonts w:ascii="Times New Roman" w:cs="Times New Roman" w:eastAsia="Times New Roman" w:hAnsi="Times New Roman"/>
                <w:sz w:val="17"/>
                <w:szCs w:val="17"/>
                <w:b w:val="1"/>
                <w:bCs w:val="1"/>
                <w:color w:val="auto"/>
                <w:w w:val="97"/>
              </w:rPr>
              <w:t>(Unaudited)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Borders>
              <w:bottom w:val="single" w:sz="8" w:color="auto"/>
            </w:tcBorders>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auto"/>
                <w:w w:val="97"/>
              </w:rPr>
              <w:t>Cash Flows from Operating Activities</w:t>
            </w:r>
          </w:p>
        </w:tc>
        <w:tc>
          <w:tcPr>
            <w:tcW w:w="36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loss</w:t>
            </w:r>
          </w:p>
        </w:tc>
        <w:tc>
          <w:tcPr>
            <w:tcW w:w="2480" w:type="dxa"/>
            <w:vAlign w:val="bottom"/>
            <w:gridSpan w:val="2"/>
          </w:tcPr>
          <w:p>
            <w:pPr>
              <w:jc w:val="right"/>
              <w:ind w:right="81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(1,654)</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1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40</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Amortization of vendor advances</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220</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of vested restricted stock units</w:t>
            </w:r>
          </w:p>
        </w:tc>
        <w:tc>
          <w:tcPr>
            <w:tcW w:w="1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259</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Vendor advances</w:t>
            </w:r>
          </w:p>
        </w:tc>
        <w:tc>
          <w:tcPr>
            <w:tcW w:w="1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(92)</w:t>
            </w:r>
          </w:p>
        </w:tc>
        <w:tc>
          <w:tcPr>
            <w:tcW w:w="9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191</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60" w:type="dxa"/>
            <w:vAlign w:val="bottom"/>
            <w:tcBorders>
              <w:bottom w:val="single" w:sz="8" w:color="CCEEFF"/>
            </w:tcBorders>
            <w:gridSpan w:val="3"/>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5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(1,036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68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7"/>
                <w:szCs w:val="17"/>
                <w:b w:val="1"/>
                <w:bCs w:val="1"/>
                <w:color w:val="auto"/>
                <w:w w:val="97"/>
              </w:rPr>
              <w:t>Cash Flows from Financing Activities</w:t>
            </w:r>
          </w:p>
        </w:tc>
        <w:tc>
          <w:tcPr>
            <w:tcW w:w="3680" w:type="dxa"/>
            <w:vAlign w:val="bottom"/>
            <w:gridSpan w:val="2"/>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At the Market (ATM) offering</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385</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Proceeds from the sale and exercise of prefunded warrants</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17"/>
                <w:szCs w:val="17"/>
                <w:color w:val="auto"/>
              </w:rPr>
            </w:pP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3,058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(165)</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60" w:type="dxa"/>
            <w:vAlign w:val="bottom"/>
            <w:tcBorders>
              <w:bottom w:val="single" w:sz="8" w:color="CCEEFF"/>
            </w:tcBorders>
            <w:gridSpan w:val="3"/>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5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220</w:t>
            </w:r>
          </w:p>
        </w:tc>
        <w:tc>
          <w:tcPr>
            <w:tcW w:w="3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3,058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36"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(816)</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w:t>
            </w:r>
          </w:p>
        </w:tc>
      </w:tr>
      <w:tr>
        <w:trPr>
          <w:trHeight w:val="40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4,491</w:t>
            </w:r>
          </w:p>
        </w:tc>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07"/>
        </w:trPr>
        <w:tc>
          <w:tcPr>
            <w:tcW w:w="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3,675</w:t>
            </w:r>
          </w:p>
        </w:tc>
        <w:tc>
          <w:tcPr>
            <w:tcW w:w="3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3,616</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7160" w:space="720"/>
            <w:col w:w="3360"/>
          </w:cols>
          <w:pgMar w:left="320" w:top="636"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flows disclosures:</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3500" w:type="dxa"/>
            <w:vAlign w:val="bottom"/>
            <w:tcBorders>
              <w:top w:val="single" w:sz="8" w:color="CCEEFF"/>
            </w:tcBorders>
            <w:gridSpan w:val="2"/>
          </w:tcPr>
          <w:p>
            <w:pPr>
              <w:spacing w:after="0"/>
              <w:rPr>
                <w:sz w:val="23"/>
                <w:szCs w:val="23"/>
                <w:color w:val="auto"/>
              </w:rPr>
            </w:pPr>
          </w:p>
        </w:tc>
        <w:tc>
          <w:tcPr>
            <w:tcW w:w="2440" w:type="dxa"/>
            <w:vAlign w:val="bottom"/>
            <w:tcBorders>
              <w:top w:val="single" w:sz="8" w:color="CCEEFF"/>
            </w:tcBorders>
            <w:gridSpan w:val="2"/>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CCEEFF"/>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Borders>
              <w:top w:val="single" w:sz="8" w:color="CCEEFF"/>
              <w:bottom w:val="single" w:sz="8" w:color="CCEEFF"/>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Taxes paid</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3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60" w:type="dxa"/>
            <w:vAlign w:val="bottom"/>
            <w:tcBorders>
              <w:bottom w:val="single" w:sz="8" w:color="auto"/>
            </w:tcBorders>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auto"/>
                <w:w w:val="97"/>
              </w:rPr>
              <w:t>Supplemental non-cash financing disclosures:</w:t>
            </w:r>
          </w:p>
        </w:tc>
        <w:tc>
          <w:tcPr>
            <w:tcW w:w="286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Common shares issued for deferred offering costs</w:t>
            </w:r>
          </w:p>
        </w:tc>
        <w:tc>
          <w:tcPr>
            <w:tcW w:w="2440" w:type="dxa"/>
            <w:vAlign w:val="bottom"/>
            <w:gridSpan w:val="2"/>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Borders>
              <w:top w:val="single" w:sz="8" w:color="CCEEFF"/>
              <w:bottom w:val="single" w:sz="8" w:color="CCEEFF"/>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Common shares issued for vendor advances</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3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Reclassification of deferred offering costs to shareholders’ equity</w:t>
            </w:r>
          </w:p>
        </w:tc>
        <w:tc>
          <w:tcPr>
            <w:tcW w:w="17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120" w:type="dxa"/>
            <w:vAlign w:val="bottom"/>
            <w:tcBorders>
              <w:bottom w:val="single" w:sz="8" w:color="CCEEFF"/>
            </w:tcBorders>
            <w:gridSpan w:val="3"/>
            <w:vMerge w:val="continue"/>
          </w:tcPr>
          <w:p>
            <w:pPr>
              <w:spacing w:after="0"/>
              <w:rPr>
                <w:sz w:val="19"/>
                <w:szCs w:val="19"/>
                <w:color w:val="auto"/>
              </w:rPr>
            </w:pPr>
          </w:p>
        </w:tc>
        <w:tc>
          <w:tcPr>
            <w:tcW w:w="1740" w:type="dxa"/>
            <w:vAlign w:val="bottom"/>
            <w:tcBorders>
              <w:bottom w:val="single" w:sz="8" w:color="CCEEFF"/>
            </w:tcBorders>
            <w:vMerge w:val="continue"/>
          </w:tcPr>
          <w:p>
            <w:pPr>
              <w:spacing w:after="0"/>
              <w:rPr>
                <w:sz w:val="19"/>
                <w:szCs w:val="19"/>
                <w:color w:val="auto"/>
              </w:rPr>
            </w:pPr>
          </w:p>
        </w:tc>
        <w:tc>
          <w:tcPr>
            <w:tcW w:w="700" w:type="dxa"/>
            <w:vAlign w:val="bottom"/>
            <w:tcBorders>
              <w:bottom w:val="single" w:sz="8" w:color="auto"/>
            </w:tcBorders>
          </w:tcPr>
          <w:p>
            <w:pPr>
              <w:jc w:val="right"/>
              <w:ind w:right="53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18</w:t>
            </w:r>
          </w:p>
        </w:tc>
        <w:tc>
          <w:tcPr>
            <w:tcW w:w="340" w:type="dxa"/>
            <w:vAlign w:val="bottom"/>
            <w:tcBorders>
              <w:bottom w:val="single" w:sz="8" w:color="CCEEFF"/>
            </w:tcBorders>
            <w:vMerge w:val="continue"/>
          </w:tcPr>
          <w:p>
            <w:pPr>
              <w:spacing w:after="0"/>
              <w:rPr>
                <w:sz w:val="19"/>
                <w:szCs w:val="19"/>
                <w:color w:val="auto"/>
              </w:rPr>
            </w:pPr>
          </w:p>
        </w:tc>
        <w:tc>
          <w:tcPr>
            <w:tcW w:w="640" w:type="dxa"/>
            <w:vAlign w:val="bottom"/>
            <w:tcBorders>
              <w:bottom w:val="single" w:sz="8" w:color="auto"/>
            </w:tcBorders>
          </w:tcPr>
          <w:p>
            <w:pPr>
              <w:jc w:val="right"/>
              <w:ind w:right="4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Borders>
              <w:bottom w:val="single" w:sz="8" w:color="CCEEFF"/>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Accrual of deferred offering costs</w:t>
            </w:r>
          </w:p>
        </w:tc>
        <w:tc>
          <w:tcPr>
            <w:tcW w:w="1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3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41</w:t>
            </w:r>
          </w:p>
        </w:tc>
        <w:tc>
          <w:tcPr>
            <w:tcW w:w="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2026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for share amounts and per share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Operations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Kairos Pharma, Ltd. (the “Company” or “Kairos”) was incorporated on June 17, 2013 under the laws of the state of California as NanoGB13, Inc. The Company changed its name to Kairos Pharma, Ltd. on July 15, 2016 and subsequently converted into a Delaware corporation under the same name, Kairos Pharma, Ltd., on May 10, 2023. The Company is an early-stage biotechnology company focused on the development of immunotherapy and cell therapy treatments for oncology.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 of Unaudited Financial Information</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accompanying unaudited condensed financial statements of the Company have been prepared in accordance with accounting principles generally accepted in the United States for interim financial information and the instructions to Form 10-Q and Rule 10-01 of Regulation S-X. Accordingly, they do not include all of the information and footnotes required by generally accepted accounting principles for complete financial statements. In the opinion of management, all normal recurring adjustments considered necessary for a fair presentation have been included. Operating results for the three months ended March 31, 2026, are not necessarily indicative of the results that may be expected for the year ending December 31, 2026. The balance sheet information as of December 31, 2025 was derived from the audited financial statements included in the Company’s financial statements as of and for the years ended December 31, 2025 and 2024 contained in the Company’s Annual Report on Form 10-K filed with the Securities and Exchange Commission. These financial statements should be read in conjunction with that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a going concern basis, which contemplates the realization of assets and the settlement of liabilities and commitments in the normal course of business. As reflected in the accompanying condensed consolidated financial statements, the Company has experienced recurring losses from operations since inception and incurred a net loss of $1,654 and used cash in operations of $1,036 during the three months ended March 31, 2026. These factors raise substantial doubt about the Company’s ability to continue as a going concern. In addition, the Company’s independent registered public accounting firm, in its report on the Company’s December 31, 2025 financial statements, has expressed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of March 31, 2026, the Company had cash and short-term investments of $3,675. Until the Company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Form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7"/>
          <w:szCs w:val="17"/>
          <w:color w:val="auto"/>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Consolidation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and accompanying notes have been prepared in accordance with accounting principles generally accepted in the United States of America (“U.S. GAAP”). The accompanying consolidated financial statements include the accounts of the Company and its former wholly-owned subsidiary, Enviro Therapeutics, Inc. (“Enviro”) which was dissolved in October 2025. All intercompany balances and transactions have been eliminated in consolidation.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accounting principles generally accepted in the U.S. requires management to make estimates and assumptions that affect the reported amounts of assets and liabilities, disclosure of contingent assets and liabilities at the financial statement date and reported amounts of revenue and expenses during the reporting period. Significant estimates are used in the valuation of accruals for potential liabilities, amortization of vendor advances and deferred offering costs, valuations of stock-based compensation, the realization of deferred tax assets, and impairment analysis and useful life for intangible assets among others. Actual results could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 of credit risk, consist primarily of cash deposits.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its inception.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considers all highly liquid investments with original maturities of three months or less on the date of purchase to be cash equivalents. The Company’s cash equivalents consisted of $3,612 and $4,326 in money market funds as of March 31, 2026, and December 31, 2025, respectively. The underlying securities in the money market funds held by the Company are all government backed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intangible assets are stated at fair value as of the date acquired, less accumulated amortization. Amortization is calculated based on the estimated useful lives of the assets, which were determined to be five years, using the straight-line method. The intangible asset consists of a licensing agreement that the Company acquired through its acquisition of Enviro during the year ended December 31, 2021, with an acquisition cost of $800. Amortization expense relating to the intangible asset during each of the three months ended March 31, 2026 and 2025 was $40, respectively, with an unamortized balance of $22 and $62 at March 31,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Company applies the provisions of ASC Topic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which addresses financial accounting and reporting for the impairment of long-lived assets. A long-lived asset that is held and used should be tested for recoverability whenever events or changes in circumstances indicate that the carrying amount of the asset group may not be recoverable. If the estimated undiscounted future cash flows are less than the carrying value, an impairment determination is required. In that event, a loss is recognized based on the amount by which the carrying amount exceeds the fair value of the long-lived assets. No impairment was recorded relating to the Company’s intangible asset during the three months ended March 31, 2026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Income (Loss) Per Share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Basic loss per share is computed by dividing net loss applicable to common stockholders by the weighted average number of outstanding common shares during the period. Shares of restricted stock are included in the basic weighted average number of common shares outstanding from the time they vest. Diluted loss per share is computed by dividing the net loss applicable to common stockholders by the weighted average number of common shares outstanding plus the number of additional common shares that would have been outstanding if all dilutive potential common shares had been issued.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2026 and 2025, the basic and diluted shares outstanding were the same, as potentially dilutive shares were considered anti-dilutive. The potentially dilutive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19"/>
                <w:szCs w:val="19"/>
                <w:color w:val="auto"/>
              </w:rPr>
            </w:pPr>
          </w:p>
        </w:tc>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195"/>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to purchase common stock</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4,281,038</w:t>
            </w:r>
          </w:p>
        </w:tc>
        <w:tc>
          <w:tcPr>
            <w:tcW w:w="34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4,543,188</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units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772,605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113,599</w:t>
            </w: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5,053,643</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4,656,787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issuances as deferred offering costs until such equity issuances are consummated. After consummation of the equity issuance, these costs are recorded as a reduction in the capitalized amount associated with the equity issuance. Should the equity issuance be delayed or abandoned, the deferred offering costs will be expensed immediately as a charge to operating expenses in the Company’s statement of operations. As of December 31, 2025, the net balance of the of deferred offering costs relating to the Company’s equity line of credit (“ELOC”) offering was $1,091. During the three months ended March 31, 2026, no additional offering costs were incurred and no cost of capital was amortized relating to the ELOC, leaving a net balance of $1,091 at March 31, 2026.</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three months ended March 31, 2026, $206 of deferred offering costs were incurred relating to the Company’s At the Market (“ATM”) offering (see Notes 4 and 5) and $18 was amortized as cost of capital relating to that offering, leaving a net balance of $188 at March 31,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net deferred offering costs were $1,279 at March 31, 2026 relating to the ELOC and the ATM.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determines the fair value of its assets and liabilities based on the exchange price in U.S. dollars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The Company uses a fair value hierarchy with three levels of inputs, of which the first two are considered observable and the last unobservable, to measure fair value:</w:t>
      </w:r>
    </w:p>
    <w:p>
      <w:pPr>
        <w:spacing w:after="0" w:line="171" w:lineRule="exact"/>
        <w:rPr>
          <w:sz w:val="20"/>
          <w:szCs w:val="20"/>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 </w:t>
      </w:r>
      <w:r>
        <w:rPr>
          <w:rFonts w:ascii="Times New Roman" w:cs="Times New Roman" w:eastAsia="Times New Roman" w:hAnsi="Times New Roman"/>
          <w:sz w:val="17"/>
          <w:szCs w:val="17"/>
          <w:color w:val="auto"/>
        </w:rPr>
        <w:t>Quoted prices in active markets for identical assets or liabilities.</w:t>
      </w:r>
    </w:p>
    <w:p>
      <w:pPr>
        <w:spacing w:after="0" w:line="26"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 </w:t>
      </w:r>
      <w:r>
        <w:rPr>
          <w:rFonts w:ascii="Times New Roman" w:cs="Times New Roman" w:eastAsia="Times New Roman" w:hAnsi="Times New Roman"/>
          <w:sz w:val="17"/>
          <w:szCs w:val="17"/>
          <w:color w:val="auto"/>
        </w:rPr>
        <w:t>Inputs, other than Level 1, that are observable, either directly or indirectly, such as quoted prices for similar assets or liabilities; quoted prices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 </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carrying amounts of financial instruments such as cash, and accounts payable and accrued liabilities, approximate the related fair values due to the short-term maturities of these instruments.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 w:name="page10"/>
    <w:bookmarkEnd w:id="9"/>
    <w:p>
      <w:pPr>
        <w:jc w:val="both"/>
        <w:spacing w:after="0" w:line="274" w:lineRule="auto"/>
        <w:rPr>
          <w:sz w:val="20"/>
          <w:szCs w:val="20"/>
          <w:color w:val="auto"/>
        </w:rPr>
      </w:pPr>
      <w:r>
        <w:rPr>
          <w:rFonts w:ascii="Times New Roman" w:cs="Times New Roman" w:eastAsia="Times New Roman" w:hAnsi="Times New Roman"/>
          <w:sz w:val="17"/>
          <w:szCs w:val="17"/>
          <w:color w:val="auto"/>
        </w:rPr>
        <w:t>Cash equivalents consisted of money market funds at March 31, 2026 and December 31, 2025. Money market funds were valued by the Company using quoted prices in active markets for identical securities, which represent a Level 1 measurement within the fair value hierarchy.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September 2025, the FASB issued ASU No. 2025-06, “Intangibles-Goodwill and Other-Internal-Use Software,” which revises the guidance for capitalizing costs related to internal-use software to better reflect modern, iterative and agile development practices. This ASU plans to remove project stage references and instead will focus on a new capitalization criteria: (i) management has authorized and committed to the software project and (ii) project completion probability. This ASU requires companies to evaluate whether significant development uncertainty exists before capitalizing costs and also incorporates website development guidance into Subtopic 350-40. This ASU is effective for annual and interim periods beginning after December 15, 2027, with early adoption permitted. The Company is currently evaluating the impact of this update on its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VENDOR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Vendor Advances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entered into various contracts with service providers pursuant to which the Company pays the vendor an advance at the beginning of the contractual period. These vendor advances could be paid by the Company either in cash or in shares of common stock, depending on the terms of the contract. The advances are reduced by the accumulated value of the services performed by the vendor or are amortized on a straight-line basis over the service period, whichever is shorter. As of December 31, 2025, advances to vendors totaled $845. Amortization expense relating to the vendor advances during the three months ended March 31, 2026 was $220, with an unamortized balance of $625 as of March 31,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Vendor advances consisted of the following at March 31, 2026 and December 31, 2025:</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6"/>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40" w:type="dxa"/>
            <w:vAlign w:val="bottom"/>
          </w:tcPr>
          <w:p>
            <w:pPr>
              <w:spacing w:after="0"/>
              <w:rPr>
                <w:sz w:val="24"/>
                <w:szCs w:val="24"/>
                <w:color w:val="auto"/>
              </w:rPr>
            </w:pPr>
          </w:p>
        </w:tc>
        <w:tc>
          <w:tcPr>
            <w:tcW w:w="19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195"/>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Prevail Infoworks (a)</w:t>
            </w: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Cross Current Capital (b)</w:t>
            </w:r>
          </w:p>
        </w:tc>
        <w:tc>
          <w:tcPr>
            <w:tcW w:w="300" w:type="dxa"/>
            <w:vAlign w:val="bottom"/>
          </w:tcPr>
          <w:p>
            <w:pPr>
              <w:spacing w:after="0"/>
              <w:rPr>
                <w:sz w:val="18"/>
                <w:szCs w:val="18"/>
                <w:color w:val="auto"/>
              </w:rPr>
            </w:pPr>
          </w:p>
        </w:tc>
        <w:tc>
          <w:tcPr>
            <w:tcW w:w="21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856</w:t>
            </w:r>
          </w:p>
        </w:tc>
        <w:tc>
          <w:tcPr>
            <w:tcW w:w="24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856</w:t>
            </w:r>
          </w:p>
        </w:tc>
      </w:tr>
      <w:tr>
        <w:trPr>
          <w:trHeight w:val="194"/>
        </w:trPr>
        <w:tc>
          <w:tcPr>
            <w:tcW w:w="65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1,756</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1,756</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00" w:type="dxa"/>
            <w:vAlign w:val="bottom"/>
          </w:tcPr>
          <w:p>
            <w:pPr>
              <w:spacing w:after="0"/>
              <w:rPr>
                <w:sz w:val="18"/>
                <w:szCs w:val="18"/>
                <w:color w:val="auto"/>
              </w:rPr>
            </w:pPr>
          </w:p>
        </w:tc>
        <w:tc>
          <w:tcPr>
            <w:tcW w:w="2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(1,131)</w:t>
            </w:r>
          </w:p>
        </w:tc>
        <w:tc>
          <w:tcPr>
            <w:tcW w:w="24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(911)</w:t>
            </w:r>
          </w:p>
        </w:tc>
      </w:tr>
      <w:tr>
        <w:trPr>
          <w:trHeight w:val="207"/>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Vendor advances, net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remaining unamortized balance of $625 as of March 31, 2026, will be fully amortized during the year ending December 31, 2026.</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 Kairos Agreement with Prevail Infoworks, Inc.</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August 1, 2024, the Company entered into a master service and technology agreement with Prevail Infoworks, Inc. (“Prevail”), pursuant to which Prevail agreed to provide certain clinical research services to the Company. As part of the agreement, the Company was required to make an advance payment of $900 to Prevail before commencement of services and, at such time as we notify Prevail to engage their services related to the relevant clinical trial, or six months from the date of the agreement, pay approximately $80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$900 advance payment to Prevail in October 2024 and it is included in vendor advances on the accompanying Balance Sheets as of March 31, 2026, and December 31, 2025. The unamortized balance of the advance was $400 as of March 31, 2026.</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 Kairos Agreement with Cross Current Capital LLC</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$200 in cash and agreed to issue to the Advisor $500 of restricted shares of the Company’s common stock under the Company’s 2023 Plan. The payment of $200 and the value of the shares, both totaling $856, are included in vendor advances on the accompanying Balance Sheets as of March 31, 2026 and December 31, 2025. The unamortized balance of the advances was $225 at March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DEFERRED OFFERING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Agreement with Helena Global Investment Opportunities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November 12, 2024, the Company entered into an agreement with Helena Global Investment Opportunities I LTD (“Helena”) pursuant to which the Company will have the right to issue and sell to Helena, from time to time, and Helena shall purchase from the Company, up to $30,000 of the Company’s shares of common stock (the “Equity Line of Credit”). The Equity Line of Credit became available to the Company after the Company filed a registration statement on Form S-1 registering the shares issuable under the Equity Line of Credit and such registration statement became effective. In exchange for the Equity Line of Credit, the Company is obligated to issue Helena a certain number of shares of common stock, calculated using $900 divided by the lowest one-day VWAP during the five trading days prior to entry into the agreement. As a result, the Company issued Helena 670,641 shares of its common stock valued at $1,377 on the date of issuance. The Company accounted for the value of the shares issued as deferred offering costs. The shares vested on the date of the agreement, were issued to Helena, and were subject to a “true up” based upon the value of the stock after the company filed and obtained effectiveness of the registration statement registering the ELOC shares for resale.</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December 31, 2025, the balance of the deferred offering costs relating to Helena was $1,091. During the three months ended March 31, 2026, no funds were raised under the ELOC, and as such, the Company did not amortize any of these costs. As of March 31, 2026, the balance of the deferred offering costs relating to Helena was $1,091, which costs will be amortized and recognized as cost of capital upon further issuances of common stock under the ELOC.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At the Market (ATM) Offering Agreement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January 2026, the Company filed a shelf registration statement on Form S-3, registering up to $75,000 in aggregate securities and, in conjunction therewith, filed a prospectus supplement for the sale of up to $4,500 of common stock pursuant to an ATM Agreement (see Note 5). Deferred offering costs incurred relating to the ATM were $206 during the three months ended March 31, 2026. During the three months ended March 31, 2026, the Company amortized $18 of these costs, and as of March 31, 2026, the balance of the deferred offering costs relating to the ATM was $188. These costs will be amortized and recognized as cost of capital upon further issuances of common stock under the ATM.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the total balance of the deferred offering costs was $1,279.</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NOTE 5 – SHAREHOLDERS’ EQUITY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At the Market (ATM) Offering</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January 2026, the Company filed a shelf registration statement on Form S-3, registering up to $75,000 in aggregate securities and, in conjunction therewith, filed a prospectus supplement for the sale of up to $4,500 of common stock pursuant to an At the Market Offering Agreement (the “ATM Agreement”) with H.C. Wainwright and Co., LLC (the “Placement Agent”). Under the ATM Agreement, the Placement Agent will be entitled to 3.0% of the gross proceeds of any sales made under the ATM Agreement. As a result of the ATM offering, during the three months ended March 31, 2026, the Company raised gross proceeds of $385 through the sale of 589,845 shares of its common stock. Net proceeds were $367 after the deduction of offering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Common Stock Issued for Cash Upon Closing of the Company’s Private Financing</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14, 2025, the Company entered into a securities purchase agreement (“SPA”) and registration rights agreement with an investor for the sale and issuance of 2,500,000 units (the “Pre-Funded Units”), with each Pre-Funded Unit consisting of a pre-funded warrant to purchase one share of common stock, exercisable for $0.001 per share, and a common warrant to purchase one and one half shares of common stock (an aggregate of 3,750,000), exercisable at $1.399 per share. On January 16, 2025, the Company closed on the sale of the Pre-Funded Units for a total purchase price of $3,500 (or $1.40 per Pre-Funded Unit). Net proceeds received by the Company relating to the financing, and subsequent exercise of prefunded warrants was $3,058.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pre-funded warrants have an exercise price of $0.001 per share and are immediately exercisable and will expire when exercised in full. The common warrants have an exercise price of $1.40 per share, will be exercisable six months from issuance and will expire five and a half years from the issuance date. During the year ended December 31, 2025, the investor exercised 2,500,000 shares of the pre-funded warrants and as of December 31, 2025, there were no pre-funded shares remaining unexercised.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Adoption of the 2023 Equity Incentive Plan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July 2023, the Company’s board of directors and stockholders adopted the 2023 Equity Incentive Plan (the “2023 Plan”). Under the 2023 Plan, the Company may grant incentive stock options to employees, including employees of any parent or subsidiary, and nonstatutory stock options, stock appreciation rights, restricted stock awards, RSU awards, performance awards and other forms of stock compensation to employees, directors and consultants, including employees and consultants of the Company’s affiliates. As approved, a total of 1,650,000 shares of common stock were initially reserved for issuance under the 2023 Plan. As of each of March 31, 2026, and December 31, 2025, a total of 877,395 shares remained available for issuance under the 2023 Plan,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Grant of Restricted Stock Units (RSUs)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common stock activity during the three months ended March 31, 2026: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Weighted Average</w:t>
            </w:r>
          </w:p>
        </w:tc>
      </w:tr>
      <w:tr>
        <w:trPr>
          <w:trHeight w:val="202"/>
        </w:trPr>
        <w:tc>
          <w:tcPr>
            <w:tcW w:w="540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Grant Date Fair</w:t>
            </w:r>
          </w:p>
        </w:tc>
      </w:tr>
      <w:tr>
        <w:trPr>
          <w:trHeight w:val="222"/>
        </w:trPr>
        <w:tc>
          <w:tcPr>
            <w:tcW w:w="540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Restricted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r>
      <w:tr>
        <w:trPr>
          <w:trHeight w:val="195"/>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December 31,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772,605</w:t>
            </w:r>
          </w:p>
        </w:tc>
        <w:tc>
          <w:tcPr>
            <w:tcW w:w="3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4"/>
        </w:trPr>
        <w:tc>
          <w:tcPr>
            <w:tcW w:w="5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Unvested, March 31, 2026</w:t>
            </w:r>
          </w:p>
        </w:tc>
        <w:tc>
          <w:tcPr>
            <w:tcW w:w="17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772,605</w:t>
            </w:r>
          </w:p>
        </w:tc>
        <w:tc>
          <w:tcPr>
            <w:tcW w:w="3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ind w:right="11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554</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three months ended March 31, 2026 and 2025, the Company recorded $259 and $76, respectively, of stock compensation-related expense for the fair value vesting of restricted common stock. As of March 31, 2026, $554 of unamortized compensation remained.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202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 Warrants</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00"/>
          </w:tcPr>
          <w:p>
            <w:pPr>
              <w:spacing w:after="0" w:line="20" w:lineRule="exact"/>
              <w:rPr>
                <w:sz w:val="1"/>
                <w:szCs w:val="1"/>
                <w:color w:val="auto"/>
              </w:rPr>
            </w:pPr>
          </w:p>
        </w:tc>
        <w:tc>
          <w:tcPr>
            <w:tcW w:w="650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5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The table below summarizes the Company’s warrant activities for the three months ended March 31, 2026:</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6"/>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3"/>
          </w:tcPr>
          <w:p>
            <w:pPr>
              <w:jc w:val="center"/>
              <w:ind w:right="236"/>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6"/>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3"/>
          </w:tcPr>
          <w:p>
            <w:pPr>
              <w:jc w:val="center"/>
              <w:ind w:right="236"/>
              <w:spacing w:after="0"/>
              <w:rPr>
                <w:sz w:val="20"/>
                <w:szCs w:val="20"/>
                <w:color w:val="auto"/>
              </w:rPr>
            </w:pPr>
            <w:r>
              <w:rPr>
                <w:rFonts w:ascii="Times New Roman" w:cs="Times New Roman" w:eastAsia="Times New Roman" w:hAnsi="Times New Roman"/>
                <w:sz w:val="17"/>
                <w:szCs w:val="17"/>
                <w:b w:val="1"/>
                <w:bCs w:val="1"/>
                <w:color w:val="auto"/>
                <w:w w:val="96"/>
              </w:rPr>
              <w:t>Warrant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9"/>
              </w:rPr>
              <w:t>Range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6"/>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center"/>
              <w:ind w:right="216"/>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340" w:type="dxa"/>
            <w:vAlign w:val="bottom"/>
          </w:tcPr>
          <w:p>
            <w:pPr>
              <w:spacing w:after="0"/>
              <w:rPr>
                <w:sz w:val="19"/>
                <w:szCs w:val="19"/>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Per Share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5"/>
              </w:rPr>
              <w:t>Price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2025</w:t>
            </w: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4,281,038</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0.40 - 4.80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Cancelled</w:t>
            </w: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Forfeited/Expired</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tcBorders>
              <w:bottom w:val="single" w:sz="8" w:color="CCEEFF"/>
            </w:tcBorders>
            <w:gridSpan w:val="5"/>
          </w:tcPr>
          <w:p>
            <w:pPr>
              <w:spacing w:after="0" w:line="194" w:lineRule="exact"/>
              <w:rPr>
                <w:sz w:val="20"/>
                <w:szCs w:val="20"/>
                <w:color w:val="auto"/>
              </w:rPr>
            </w:pPr>
            <w:r>
              <w:rPr>
                <w:rFonts w:ascii="Times New Roman" w:cs="Times New Roman" w:eastAsia="Times New Roman" w:hAnsi="Times New Roman"/>
                <w:sz w:val="17"/>
                <w:szCs w:val="17"/>
                <w:color w:val="auto"/>
              </w:rPr>
              <w:t>Balance, March 31, 2026</w:t>
            </w:r>
          </w:p>
        </w:tc>
        <w:tc>
          <w:tcPr>
            <w:tcW w:w="12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4,281,038</w:t>
            </w:r>
          </w:p>
        </w:tc>
        <w:tc>
          <w:tcPr>
            <w:tcW w:w="3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4"/>
              </w:rPr>
              <w:t>0.40 – 4.80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40" w:type="dxa"/>
            <w:vAlign w:val="bottom"/>
            <w:gridSpan w:val="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Vested and exercisable, March 31, 2026</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4,281,038</w:t>
            </w:r>
          </w:p>
        </w:tc>
        <w:tc>
          <w:tcPr>
            <w:tcW w:w="3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4"/>
              </w:rPr>
              <w:t>0.40 – 4.80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830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The following table summarizes information concerning outstanding and exercisable warrants as of March 31, 2026:</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Warrants Outstanding</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Warrants Exercisable</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center"/>
              <w:ind w:left="236"/>
              <w:spacing w:after="0" w:line="174"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5"/>
          </w:tcPr>
          <w:p>
            <w:pPr>
              <w:jc w:val="center"/>
              <w:ind w:right="956"/>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4"/>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8"/>
              </w:rPr>
              <w:t>Range of</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4"/>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28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Contractual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320" w:type="dxa"/>
            <w:vAlign w:val="bottom"/>
          </w:tcPr>
          <w:p>
            <w:pPr>
              <w:spacing w:after="0"/>
              <w:rPr>
                <w:sz w:val="17"/>
                <w:szCs w:val="17"/>
                <w:color w:val="auto"/>
              </w:rPr>
            </w:pPr>
          </w:p>
        </w:tc>
        <w:tc>
          <w:tcPr>
            <w:tcW w:w="900" w:type="dxa"/>
            <w:vAlign w:val="bottom"/>
            <w:gridSpan w:val="2"/>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4"/>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9"/>
              </w:rPr>
              <w:t>Prices</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280" w:type="dxa"/>
            <w:vAlign w:val="bottom"/>
          </w:tcPr>
          <w:p>
            <w:pPr>
              <w:spacing w:after="0"/>
              <w:rPr>
                <w:sz w:val="19"/>
                <w:szCs w:val="19"/>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Life (in years)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b w:val="1"/>
                <w:bCs w:val="1"/>
                <w:color w:val="auto"/>
              </w:rPr>
              <w:t>Price</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Exercisable</w:t>
            </w:r>
          </w:p>
        </w:tc>
        <w:tc>
          <w:tcPr>
            <w:tcW w:w="320" w:type="dxa"/>
            <w:vAlign w:val="bottom"/>
          </w:tcPr>
          <w:p>
            <w:pPr>
              <w:spacing w:after="0"/>
              <w:rPr>
                <w:sz w:val="19"/>
                <w:szCs w:val="19"/>
                <w:color w:val="auto"/>
              </w:rPr>
            </w:pPr>
          </w:p>
        </w:tc>
        <w:tc>
          <w:tcPr>
            <w:tcW w:w="136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(in years)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0.40 - 0.46</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17,850</w:t>
            </w:r>
          </w:p>
        </w:tc>
        <w:tc>
          <w:tcPr>
            <w:tcW w:w="192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4.17</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0.46</w:t>
            </w:r>
          </w:p>
        </w:tc>
        <w:tc>
          <w:tcPr>
            <w:tcW w:w="5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17,850</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1.23 - 2.40</w:t>
            </w:r>
          </w:p>
        </w:tc>
        <w:tc>
          <w:tcPr>
            <w:tcW w:w="2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4,154,688</w:t>
            </w:r>
          </w:p>
        </w:tc>
        <w:tc>
          <w:tcPr>
            <w:tcW w:w="1920" w:type="dxa"/>
            <w:vAlign w:val="bottom"/>
            <w:gridSpan w:val="3"/>
          </w:tcPr>
          <w:p>
            <w:pPr>
              <w:ind w:left="1460"/>
              <w:spacing w:after="0"/>
              <w:rPr>
                <w:sz w:val="20"/>
                <w:szCs w:val="20"/>
                <w:color w:val="auto"/>
              </w:rPr>
            </w:pPr>
            <w:r>
              <w:rPr>
                <w:rFonts w:ascii="Times New Roman" w:cs="Times New Roman" w:eastAsia="Times New Roman" w:hAnsi="Times New Roman"/>
                <w:sz w:val="17"/>
                <w:szCs w:val="17"/>
                <w:color w:val="auto"/>
              </w:rPr>
              <w:t>3.77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1.40</w:t>
            </w:r>
          </w:p>
        </w:tc>
        <w:tc>
          <w:tcPr>
            <w:tcW w:w="5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4,154,688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108,500</w:t>
            </w:r>
          </w:p>
        </w:tc>
        <w:tc>
          <w:tcPr>
            <w:tcW w:w="192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3.50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4.80</w:t>
            </w:r>
          </w:p>
        </w:tc>
        <w:tc>
          <w:tcPr>
            <w:tcW w:w="5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108,500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0.40 - 4.80</w:t>
            </w: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4,281,038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w w:val="87"/>
              </w:rPr>
              <w:t>3.76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3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4,281,038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intrinsic value for warrant shares outstanding as of March 31, 2026 was $2.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Kairos Exclusive License Agreements with Cedars-Sinai Medical Center (Cedars)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entered into four Exclusive License Agreements with Cedars, each of which grants the Company licensing rights with respect to certain patent rights owned by Cedars as follows:</w:t>
      </w:r>
    </w:p>
    <w:p>
      <w:pPr>
        <w:spacing w:after="0" w:line="159" w:lineRule="exact"/>
        <w:rPr>
          <w:sz w:val="20"/>
          <w:szCs w:val="20"/>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Methods of use of compounds that bind to RelA of NFkB;</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Composition and methods for treating fibrosis;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Compositions and methods for treating cancer and autoimmune diseases;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Method of generating activated T cells for cancer therapy.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7"/>
          <w:szCs w:val="17"/>
          <w:color w:val="auto"/>
        </w:rPr>
        <w:t>For each of the exclusive license agreement in items 1, 2 and 3, the Company was required to pay an initial license fee of $5, reimburse Cedars for patent protection costs ranging from approximately $9 to $61, pay an annual maintenance fee of $10, and pay royalties based on 3.75% of net sales and pay other non-royalty sublicense fees ranging from 5% to 35% of sales of products. In addition, for items 1, 2 and 3, the Company is required to pay Cedars based on the following milestones:</w:t>
      </w:r>
    </w:p>
    <w:p>
      <w:pPr>
        <w:spacing w:after="0" w:line="175" w:lineRule="exact"/>
        <w:rPr>
          <w:sz w:val="20"/>
          <w:szCs w:val="20"/>
          <w:color w:val="auto"/>
        </w:rPr>
      </w:pPr>
    </w:p>
    <w:p>
      <w:pPr>
        <w:ind w:left="600" w:hanging="29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upon the successful completing of Phase I clinical trial;</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 (for items 1 and 2) and $500 (for item 3) upon the successful completing of Phase II clinical trial for a product and receipt of Food and Drug Administration (“FDA”) approval for a Phase III clinical trial;</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 upon receipt of FDA approval of a new drug application or equivalent foreign regulatory approval in a non-United States major commercial market; and</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 upon cumulative net sales exceeding $5,000.</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exclusive license agreement in item 4, the Company is required to pay an initial license fee of $50 upon raising $500 in capital, pay an annual maintenance fee of $10, pay royalties based on 4.25% of patent product sales and 0.5% of other sales and pay other non-royalty sublicense fees ranging from 5% to 35%. In addition, the Company is required to pay Cedars based on the following milestones:</w:t>
      </w:r>
    </w:p>
    <w:p>
      <w:pPr>
        <w:spacing w:after="0" w:line="169" w:lineRule="exact"/>
        <w:rPr>
          <w:sz w:val="20"/>
          <w:szCs w:val="20"/>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upon the successful completing of Phase I clinical trial;</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 upon the successful completing of Phase II clinical trial and receipt of Food and Drug Administration (“FDA”) or equivalent regulatory agency in another jurisdiction approval for a Phase III clinical trial;</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 upon receipt of FDA approval of a new drug application;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 upon cumulative net sales exceeding $50,000.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no amounts were due under the Exclusive License Agreements between Cedars and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Enviro Therapeutics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On June 2, 2021, the Company’s then-wholly owned subsidiary, Enviro, entered into two Exclusive License Agreements with Cedars, which granted Enviro exclusive licensing rights (which include the right to sublicense) with respect to certain patent rights owned by Cedars, as follows:</w:t>
      </w:r>
    </w:p>
    <w:p>
      <w:pPr>
        <w:spacing w:after="0" w:line="159" w:lineRule="exact"/>
        <w:rPr>
          <w:sz w:val="20"/>
          <w:szCs w:val="20"/>
          <w:color w:val="auto"/>
        </w:rPr>
      </w:pPr>
    </w:p>
    <w:p>
      <w:pPr>
        <w:jc w:val="both"/>
        <w:ind w:left="600" w:hanging="297"/>
        <w:spacing w:after="0" w:line="25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p>
      <w:pPr>
        <w:jc w:val="both"/>
        <w:ind w:left="600" w:hanging="297"/>
        <w:spacing w:after="0" w:line="250"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Neil Bhowmick and others.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exchange for each of the licenses, pursuant to the terms of the Exclusive License Agreements, Enviro was required to pay an upfront license fee in the mid four-figures and low-five figures, respectively. Enviro was also required to reimburse Cedars for the costs in the mid-to-high six figures incurred in the prosecution of the patent rights subject to the Enviro-Cedars License Agreements prior to the date of execution of such agreements, and certain costs and fees then outstanding aggregating in the low-six figures owed by Kairos pursuant to the Kairos-Cedars License Agreements. Pursuant to the Enviro-Cedars License Agreements, Cedars was also to receive royalty payments of a mid-single-digit percentage of net sales of products associated with the licensed patent right and less than one percent of net sales of other products derived from Cedars’ technical information, with a minimum annual royalty fee in the low five-digits due beginning on the third anniversary of the effective date of the Enviro-Cedars License Agreements. To the extent Enviro derived non-royalty sublicensing revenues, a high single-digit to low double-digit percentage of such revenues would be due and payable to Cedars, with the actual percentage of such revenues dependent on the stage of FDA authorization at the time the sublicense revenue is generated.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7"/>
          <w:szCs w:val="17"/>
          <w:color w:val="auto"/>
        </w:rPr>
        <w:t>Enviro was also required to pay Cedars in connection with achieving the following Payment Milestones relating to products derived from the patent rights: successful completion of a Phase I clinical trial; successful completion of a Phase II clinical trial, receipt of FDA approval, and approval for a Phase III clinical trial; FDA approval of an NDA or BLA; cumulative net sales exceeding $50,000; and cumulative net sales exceeding $100,000. If all of these payment milestones are met among both of the Exclusive License Agreements, the required milestone payments would total in the mid-to-high seven-figures.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Exclusive License Agreements, Enviro was obligated to meet the following Commercialization Milestones. Pursuant to the Enviro-Cedars License Agreement (Endoglin Antagonism), Enviro was obligated to (1) obtain an IND for a patent product within 1 year of the effective date of the agreement, (2) commence a Phase II trial within 2 years of the effective date of the agreement, and (3) submit an NDA or BLA to the FDA or equivalent regulatory agency in another jurisdiction within 7 years of the effective date of the agreement. Pursuant to the Enviro-Cedars License Agreement (Mitochondrial DNA), Enviro was obligated to (1) complete preclinical studies of a patent product within 2 years of the effective date of the agreement, (2) complete toxicology studies within 2.5 years of the effective date of the agreement, (3) obtain IND within 3 years of the effective date of the agreement, (4) begin a Phase I trial within 4 years of the effective date of the agreement, and (5) submit an NDA or BLA to the FDA or equivalent regulatory agency in another jurisdiction within 7 years of the effective date of the agreement. If the Commercialization Milestones are not met or extended, Cedars may convert the exclusive licenses into non-exclusive licenses or to a co-exclusive licenses or terminate the licenses.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Exclusive License Agreements will, unless sooner terminated, continue in effect on a country-by-country basis until the last of the patents covering the patent rights or future patent rights expires. Under the terms of the Enviro-Cedars License Agreements, unless waived by Cedars, the agreements would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Enviro fails to undertake commercially reasonable efforts to exploit the patent rights or future patent rights; (d) within 60 days of Cedars’ failure to cure any breach or default of a material obligation under the agreements; (e) within 90 days of Enviro’s failure to cure any breach or default of a material obligation under the agreements; or (f) upon mutual written agreement of the parties.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Novation Agreements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October 1, 2025, the Board of Directors approved the entry of Kairos and Enviro into a novation agreement (the “Cedars Novation Agreement”) with Cedars. The Cedars Novation Agreement was entered into on October 1, 2025, but effective as of April 17, 2025, for purposes of transferring the exclusive license of two patents from Enviro, as the original licensee, to Kairos, as the new licensee. As the new licensee of the two patents, Kairos accepted and assumed all obligations and liabilities that may arise under the Exclusive License Agreements from Enviro and Enviro is relieved of all of its liabilities and obligations under the license agreements.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addition, on October 1, 2025, the Board approved the Company’s entry into a novation agreement (the “Tracon Novation Agreement”) with Tracon Pharmaceuticals, Inc. (the “Tracon”) and Enviro pursuant to which Enviro’s rights and obligations under the license and supply agreement between Tracon, Enviro and Kairos, originally dated May 21, 2021, as amended to date (the “Tracon License Agreement”), were transferred from Enviro to Kairos and Enviro was relieved of any further liabilities or obligations under the license and supply agreement. Under the Tracon License Agreement, Tracon had granted Enviro exclusive access to its TRC105 and CD105 technologies, which Kairos has now assumed pursuant to the Tracon Novation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Agreements with Lonza Sales AG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November 12, 2025, the Company entered into an amendment (the “Lonza Amendment”)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 total of $1,143 in consideration, which will be paid over time as each of the 13 stages of the Lonza Amendment are completed.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27, 2026, the Company entered into an additional statement of work to the sales agreement with Lonza pursuant to which the Company agreed to pay an additional amount of approximately $2,000, which will also be paid over time as each of the 13 stages of the Lonza Amendment are completed. As of March 31, 2026, Lonza’s testing and preparation of the ENV105 antibody had begun but had yet to be completed and the Company had yet to make any payments to Lonza. Subsequent to March 31, 2026, the Company made a payment of $160 to Lonza under the amended agreement, which amount was accrued as of March 31, 2026 (see Note 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Agreement with Celyn Therapeutics, Inc.</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March 2, 2026, the Company entered into a binding term sheet with Celyn Therapeutics, Inc., a privately held biotechnology company, regarding a proposed asset acquisition of CL-273, an investigational, reversible, wild type sparing pan EGFR small molecule inhibitor being developed by Eilean Therapeutics for EGFR mutant non-small cell lung cancer. Pursuant to the term sheet, the Company will receive 100% of the development, manufacturing, commercialization rights, patent prosecution and patent filing rights worldwide to CL-273 in exchange for upfront payment of 16.5% of the Company’s outstanding capital stock, with such stock to be issued in the form of Common Stock or convertible preferred stock, and milestone payments of (i) $15 million payable at NDA or BLA FDA, with such payment to be made in combination of cash and stock and (ii) 2% royalties from net revenue generated from sales in the U.S. for the life of the intellectual property. Closing is subject to satisfactory completion of due diligence and negotiation of a definitive acquisition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Legal Matters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To the Company’s knowledge, it is not currently the subject of any material legal proceeding. In the future, the Company may be involved in actual and/or threatened legal proceedings, claims, investigations and government inquiries arising in the ordinary course of our business, including legal proceedings, claims, investigations and government inquiries involving intellectual property, data privacy and security, other torts, illegal or objectionable content, consumer protection, securities, employment, contractual rights, civil rights infringement, false or misleading advertising, or other legal claims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SEGMENT INFORMATION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operates and manages its business as one reportable segment and operates as a clinical-stage biopharmaceutical company. The Company’s current focus is on developing immunotherapy and cell therapies for the treatment of cancer. The Company’s Chief Operating Decision Maker (“CODM”) is the Chief Executive Officer, who reviews financial information presented and decides how to allocate resources based on net income (loss). Net income (loss) is used for evaluating financial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Significant segment expenses include research and development, officer compensation,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Revenue</w:t>
            </w:r>
          </w:p>
        </w:tc>
        <w:tc>
          <w:tcPr>
            <w:tcW w:w="2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Less:</w:t>
            </w:r>
          </w:p>
        </w:tc>
        <w:tc>
          <w:tcPr>
            <w:tcW w:w="2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less officer compensation</w:t>
            </w:r>
          </w:p>
        </w:tc>
        <w:tc>
          <w:tcPr>
            <w:tcW w:w="2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621</w:t>
            </w:r>
          </w:p>
        </w:tc>
        <w:tc>
          <w:tcPr>
            <w:tcW w:w="9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Officer compensation and wages</w:t>
            </w:r>
          </w:p>
        </w:tc>
        <w:tc>
          <w:tcPr>
            <w:tcW w:w="2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163</w:t>
            </w:r>
          </w:p>
        </w:tc>
        <w:tc>
          <w:tcPr>
            <w:tcW w:w="9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Insurance</w:t>
            </w:r>
          </w:p>
        </w:tc>
        <w:tc>
          <w:tcPr>
            <w:tcW w:w="2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85</w:t>
            </w:r>
          </w:p>
        </w:tc>
        <w:tc>
          <w:tcPr>
            <w:tcW w:w="9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259</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562</w:t>
            </w:r>
          </w:p>
        </w:tc>
        <w:tc>
          <w:tcPr>
            <w:tcW w:w="9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(expenses)</w:t>
            </w: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36</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140" w:type="dxa"/>
            <w:vAlign w:val="bottom"/>
          </w:tcPr>
          <w:p>
            <w:pPr>
              <w:spacing w:after="0"/>
              <w:rPr>
                <w:sz w:val="17"/>
                <w:szCs w:val="17"/>
                <w:color w:val="auto"/>
              </w:rPr>
            </w:pPr>
          </w:p>
        </w:tc>
        <w:tc>
          <w:tcPr>
            <w:tcW w:w="98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SUBSEQUENT EVENTS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March 31, 2026, the Company made a payment of $160 to Lonza under its amended agreement with Lonza (see Note 6).</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11, 2026, the Company entered into a Pharmaceutical Development Services Agreement with Brammer Bio MA, LLC (“Patheon”), under which Patheon agrees to transfer and manufacture clinical supply of ENV-105 sterile liquid vials in compliance with applicable regulations and cGMP to support Phase II clinical trials. The agreement also covers related analytical and microbiology methods, stability studies, and regulatory support, and includes customary terms on confidentiality, intellectual property ownership, quality audits, fees and cancellation, term, and termination. The total amount committed by the Company under the agreement is $783.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for share amounts and per share data)</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(the “MD&amp;A”) together with our unaudited consolidated financial statements and related notes appearing in Part I, Item 1 of this Quarterly Report on Form 10-Q (the “Quarterly Report”), and with our audited financial statements and notes thereto for the year ended December 31, 2025, included in our annual report on Form 10-K filed with the Securities Exchange Commission (the “SEC”) on March 31, 2026 (the “2025 Annual Report”)</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Note Regarding Forward-Looking Statements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In addition to historical information, some of the statements contained in this discussion and analysis or set forth elsewhere in this Quarterly Report, including information with respect to our plans and strategy for our business, constitute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any projections about future events. The following information and any forward-looking statements should be considered in light of factors discussed elsewhere in this Quarterly Report, the “Risk Factor” section in the 2025 Annual Report, and in our other filings with the Securities Exchange Commission (the “SEC”).</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i w:val="1"/>
          <w:iCs w:val="1"/>
          <w:color w:val="auto"/>
        </w:rPr>
        <w:t>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Statements made herein are as of the date of the filing of this Quarterly Report with the SEC and should not be relied upon as of any subsequent date.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a clinical-stage biopharmaceutical company advancing therapeutics for cancer patients that are designed to overcome key hurdles in immune suppression and drug resistance.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mission is to advance our portfolio of innovative therapeutics to reverse key mechanisms of therapeutic resistance and immune suppression and transform the way cancer is treated. We have leveraged molecular insights of the mechanisms of therapeutic resistance and immune suppression to develop a new class of novel drugs that are designed to target drug resistance and checkpoints of immune suppression. As of the date of this Quarterly Report, our product candidates have not been approved as safe or effective by the FDA or any other comparable foreign regulator.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Since inception, we have incurred significant operating losses. Our net losses were $1,654 and $1,262 for the three months ended March 31, 2026 and 2025, respectively. As of March 31, 2026, we had an accumulated deficit of $15,916.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7"/>
          <w:szCs w:val="17"/>
          <w:color w:val="auto"/>
        </w:rPr>
        <w:t>We will not generate revenue from product sales unless and until we successfully complete our clinical trials and obtain regulatory approval for our product candidates. In addition, if we obtain regulatory approval for our product candidates and do not enter into a third-party commercialization partnership, we will likely incur significant expenses related to developing our commercialization capability to support product sales, marketing, manufacturing, and distribution activities.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and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stockholders, in case of equity financing.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At the Market (ATM) Offering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12, 2026, we entered into an ATM Agreement with HCW for the sale, from time to time, up to $4,524,949 shares of our common stock. We registered the common stock offered under the ATM Agreement pursuant to a prospectus supplement filed in conjunction with our shelf registration statement on Form S-3 (SEC File No. 333-292686), which was declared effective on January 23, 2026. Pursuant to the ATM Agreement, HCW is entitled to a placement agent fee of 3.0% of the gross sale price of shares sold under the ATM Agreement.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 result of the ATM offering, during the three months ended March 31, 2026, the Company raised gross proceeds of $385 through the sale of 589,845 shares of its common stock. Net proceeds were $367 after the deduction of offering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Common Stock Issued for Cash Upon Closing of the Company’s Private Financing</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14, 2025, the Company entered into a securities purchase agreement (“SPA”) and registration rights agreement with an investor for the sale and issuance of 2,500,000 units (the “Pre-Funded Units”), with each Pre-Funded Unit consisting of a pre-funded warrant to purchase one share of common stock, exercisable for $0.001 per share, and a common warrant to purchase one and one half shares of common stock (an aggregate of 3,750,000), exercisable at $1.399 per share. On January 16, 2025, the Company closed on the sale of the Pre-Funded Units for a total purchase price of $3,500 (or $1.40 per Pre-Funded Unit). Net proceeds received by the Company relating to the financing, and subsequent exercise of prefunded warrants was $3,058.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pre-funded warrants have an exercise price of $0.001 per share and are immediately exercisable and will expire when exercised in full. The common warrants have an exercise price of $1.40 per share, will be exercisable six months from issuance and will expire five and a half years from the issuance date. During the year ended December 31, 2025, the investor exercised 2,500,000 shares of the pre-funded warrants and as of December 31, 2025, there were no pre-funded shares remaining unexercised.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Services Agreement with Brammer Bio MA, LLC</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11, 2026, the Company entered into a Pharmaceutical Development Services Agreement with Brammer Bio MA, LLC (“Patheon”), under which Patheon agrees to transfer and manufacture clinical supply of ENV-105 sterile liquid vials in compliance with applicable regulations and cGMP to support Phase II clinical trials. The agreement also covers related analytical and microbiology methods, stability studies, and regulatory support, and includes customary terms on confidentiality, intellectual property ownership, quality audits, fees and cancellation, term, and termination. The total amount committed by the Company under the agreement is $783.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not generated any sales to date. No revenue was recorded from any source during the three months ended March 31, 2026 and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expenses consist of (i) research and development expenses and (ii) general and administrative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Dr. Ramachandran Murali is our Vice President of Research and Development. Dr. Murali is a doctor and scientist at Cedars-Sinai Medical Center, and is the inventor, with others, of three of the patented technologies that are subject to the Kairos-Cedars license agreements.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engaged in rolling out our Phase 1 and Phase 2 clinical trials for ENV 105 and a Phase 1 trial for KROS 201. In addition, we are continuously performing preclinical research including animal models of disease, medicinal chemistry laboratory studies, formulation, and toxicology and biodistribution studies. Our clinical development costs may vary significantly based on factors such as: per patient trial costs; the number of trials required for approval; the number of sites included in the trials; the location where the trials are conducted; the length of time required to enroll eligible patients; the number of patients that participate in the trials; the number of doses that patients receive; the drop-out or discontinuation rates of patients; potential additional safety monitoring requested by regulatory agencies; the duration of patient participation in the trials and follow-up; the cost and timing of manufacturing our product candidates; the phase of development of our product candidates; and the efficacy and safety profile of our product candidates.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successful development and commercialization of product candidates is highly uncertain. This is due to the numerous risks and uncertainties associated with product development and commercialization, including the following: the timing and progress of nonclinical and clinical development activities; the number and scope of nonclinical and clinical programs we decide to pursue; raising necessary additional funds; the progress of the development efforts of parties with whom we may enter into collaboration arrangements; our ability to maintain our current development program and to establish new ones; our ability to establish new licensing or collaboration arrangements; the successful initiation and completion of clinical trials with safety, tolerability and efficacy profiles that are satisfactory to the FDA or any comparable foreign regulatory authority; the receipt and related terms of regulatory approvals from applicable regulatory authorities; the availability of drug substance and drug product for use in production of our product candidate; establishing and maintaining agreements with third-party manufacturers for clinical supply for our clinical trials and commercial manufacturing, if our product candidates are approved; our ability to obtain and maintain patents, trade secret protection and regulatory exclusivity, both in the United States and internationally; our ability to protect our rights in our intellectual property portfolio; the commercialization of our product candidates, if and when approved; obtaining and maintaining third-party insurance coverage and adequate reimbursement; the acceptance of our product candidate, if approved, by patients, the medical community and third-party payors; competition with other products; the impact of any business interruptions to our operations, including the timing and enrollment of patients in our planned clinical trials, or to those of our manufacturers, suppliers, or other vendors resulting from any pandemic or public health crisis; and a continued acceptable safety profile of our therapies following approval.</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related costs for personnel in executive, finance, corporate and business development, as well as administrative functions. General and administrative expenses also include legal fees relating to patent, corporate, IPO-related matters, and SEC reporting matters; professional fees for accounting, auditing, tax and administrative consulting services; insurance costs; administrative travel expenses; marketing expenses and other operating costs.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in the future as we increase our headcount to support our business operations. We also anticipate that we will incur increased accounting, audit, legal, regulatory, compliance, and director and officer insurance costs, as well as investor and public relations expenses associated with being a public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March 31, 2026 and 2025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three months ended March 31, 2026 and 2025: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661"/>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24"/>
                <w:szCs w:val="24"/>
                <w:color w:val="auto"/>
              </w:rPr>
            </w:pPr>
          </w:p>
        </w:tc>
        <w:tc>
          <w:tcPr>
            <w:tcW w:w="1340" w:type="dxa"/>
            <w:vAlign w:val="bottom"/>
            <w:gridSpan w:val="2"/>
          </w:tcPr>
          <w:p>
            <w:pPr>
              <w:jc w:val="right"/>
              <w:ind w:right="438"/>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684</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1,006</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1,690</w:t>
            </w:r>
          </w:p>
        </w:tc>
        <w:tc>
          <w:tcPr>
            <w:tcW w:w="3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1,266</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(1,690)</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income:</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other income</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right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spacing w:after="0"/>
              <w:rPr>
                <w:sz w:val="16"/>
                <w:szCs w:val="16"/>
                <w:color w:val="auto"/>
              </w:rPr>
            </w:pPr>
          </w:p>
        </w:tc>
        <w:tc>
          <w:tcPr>
            <w:tcW w:w="220" w:type="dxa"/>
            <w:vAlign w:val="bottom"/>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(1,654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(1,262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our research and development expenses for the three months ended March 31, 2026 and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2"/>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tc>
        <w:tc>
          <w:tcPr>
            <w:tcW w:w="138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7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Clinical trial and related expenses</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4"/>
        </w:trPr>
        <w:tc>
          <w:tcPr>
            <w:tcW w:w="76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research and development expenses</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9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684</w:t>
            </w:r>
          </w:p>
        </w:tc>
        <w:tc>
          <w:tcPr>
            <w:tcW w:w="340" w:type="dxa"/>
            <w:vAlign w:val="bottom"/>
          </w:tcPr>
          <w:p>
            <w:pPr>
              <w:spacing w:after="0"/>
              <w:rPr>
                <w:sz w:val="16"/>
                <w:szCs w:val="16"/>
                <w:color w:val="auto"/>
              </w:rPr>
            </w:pPr>
          </w:p>
        </w:tc>
        <w:tc>
          <w:tcPr>
            <w:tcW w:w="200" w:type="dxa"/>
            <w:vAlign w:val="bottom"/>
            <w:tcBorders>
              <w:bottom w:val="single" w:sz="8" w:color="auto"/>
            </w:tcBorders>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493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were $684 and $493 for the three months ended March 31, 2026 and 2025, respectively. The increase in R&amp;D expenses in the first quarter of 2026 primarily related to our Phase 2 trial in prostate cancer beginning in 2024.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2"/>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8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table below summarizes our general and administrative expenses for the three months ended March 31, 2026 and 2025: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2"/>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132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2026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r>
      <w:tr>
        <w:trPr>
          <w:trHeight w:val="195"/>
        </w:trPr>
        <w:tc>
          <w:tcPr>
            <w:tcW w:w="7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Stock-related expenses</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Officer and board compensation and wages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140</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7"/>
                <w:szCs w:val="17"/>
                <w:color w:val="auto"/>
              </w:rPr>
            </w:pPr>
          </w:p>
        </w:tc>
      </w:tr>
      <w:tr>
        <w:trPr>
          <w:trHeight w:val="202"/>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Patent related expenses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7"/>
                <w:szCs w:val="17"/>
                <w:color w:val="auto"/>
              </w:rPr>
            </w:pPr>
          </w:p>
        </w:tc>
      </w:tr>
      <w:tr>
        <w:trPr>
          <w:trHeight w:val="202"/>
        </w:trPr>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Legal expenses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Accounting expenses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68</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7"/>
                <w:szCs w:val="17"/>
                <w:color w:val="auto"/>
              </w:rPr>
            </w:pPr>
          </w:p>
        </w:tc>
      </w:tr>
      <w:tr>
        <w:trPr>
          <w:trHeight w:val="202"/>
        </w:trPr>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professional service expenses and fees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203</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7"/>
                <w:szCs w:val="17"/>
                <w:color w:val="auto"/>
              </w:rPr>
            </w:pPr>
          </w:p>
        </w:tc>
      </w:tr>
      <w:tr>
        <w:trPr>
          <w:trHeight w:val="202"/>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Insurance expenses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r>
      <w:tr>
        <w:trPr>
          <w:trHeight w:val="202"/>
        </w:trPr>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Vendor advances amortization expense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120</w:t>
            </w:r>
          </w:p>
        </w:tc>
        <w:tc>
          <w:tcPr>
            <w:tcW w:w="2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w:t>
            </w:r>
          </w:p>
        </w:tc>
      </w:tr>
      <w:tr>
        <w:trPr>
          <w:trHeight w:val="202"/>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7"/>
                <w:szCs w:val="17"/>
                <w:color w:val="auto"/>
              </w:rPr>
            </w:pPr>
          </w:p>
        </w:tc>
      </w:tr>
      <w:tr>
        <w:trPr>
          <w:trHeight w:val="214"/>
        </w:trPr>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w:t>
            </w:r>
          </w:p>
        </w:tc>
      </w:tr>
      <w:tr>
        <w:trPr>
          <w:trHeight w:val="194"/>
        </w:trPr>
        <w:tc>
          <w:tcPr>
            <w:tcW w:w="76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general and administrative expenses</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1,006</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773</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were $1,006 and $773 for the three months ended March 31, 2026 and 2025, respectively. Significant changes between periods consisted of the increase in other professional service expenses and fees in 2026, primarily related to being a publicly traded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Other income was $36 and $4 for the three months ended March 31, 2026 and 2025, respectively. In both periods, other income was interest income earned from our money market account.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has experienced recurring losses from operations since inception and incurred a net loss of $1,654 and used cash in operations of $1,036 during the three months ended March 31, 2026. These factors raise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of March 31, 2026, the Company had cash and short-term investments of $3,675. Until the Company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Form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2"/>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3"/>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The table below summarizes our cash flow activities for the three months ended March 31, 2026 and 2025: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641"/>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24"/>
                <w:szCs w:val="24"/>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2"/>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95"/>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activities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gridSpan w:val="2"/>
            <w:shd w:val="clear" w:color="auto" w:fill="CCEEFF"/>
          </w:tcPr>
          <w:p>
            <w:pPr>
              <w:spacing w:after="0"/>
              <w:rPr>
                <w:sz w:val="16"/>
                <w:szCs w:val="16"/>
                <w:color w:val="auto"/>
              </w:rPr>
            </w:pPr>
          </w:p>
        </w:tc>
      </w:tr>
      <w:tr>
        <w:trPr>
          <w:trHeight w:val="202"/>
        </w:trPr>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Investing activities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Financing activities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220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3,058</w:t>
            </w:r>
          </w:p>
        </w:tc>
        <w:tc>
          <w:tcPr>
            <w:tcW w:w="80" w:type="dxa"/>
            <w:vAlign w:val="bottom"/>
            <w:shd w:val="clear" w:color="auto" w:fill="CCEEFF"/>
          </w:tcPr>
          <w:p>
            <w:pPr>
              <w:spacing w:after="0"/>
              <w:rPr>
                <w:sz w:val="18"/>
                <w:szCs w:val="18"/>
                <w:color w:val="auto"/>
              </w:rPr>
            </w:pPr>
          </w:p>
        </w:tc>
      </w:tr>
      <w:tr>
        <w:trPr>
          <w:trHeight w:val="194"/>
        </w:trPr>
        <w:tc>
          <w:tcPr>
            <w:tcW w:w="76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(816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2,344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three months ended March 31, 2026, we used cash from operating activities of $1,036, compared to $714 used during the three months ended March 31, 2025. During the three months ended March 31, 2026, we incurred a net loss of $1,654 and had non-cash expenses of $519, compared to a net loss of $1,262 and non-cash expenses of $116 during the three months ended March 31, 2025. The primary non-cash expense in the first three months of 2026 was the amortization of vendor advances of $220 and the fair value of vested restricted stock units of $259. The primary non-cash expense in the same period of 2025 was the fair value of vested restricted stock units of $76.</w:t>
      </w:r>
    </w:p>
    <w:p>
      <w:pPr>
        <w:spacing w:after="0" w:line="1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net change in operating assets and liabilities during the three months ended March 31, 2026 provided cash of $99, compared to $432 provided during the three months ended March 31, 2025. The primary source of cash relating to operating assets and liabilities during the three months ended March 31, 2026, was the increase in accounts payable and accrued expenses. The primary source of cash during the three months ended March 31, 2025, was the decrease in vendor advances.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three months ended March 31, 2026, we provided cash from financing activities of $220, compared to $3,058 provided during the three months ended March 31, 2025. For the three months ended March 31, 2026, cash provided by financing activities consisted of proceeds from our ATM offering of $385. Net cash provided in the same period of 2025 was from net proceeds from the sale and exercise of prefunded warrants of $3,058. Net cash used in the first three months of 2026 consisted of the payment of deferred offering costs of $165.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Kairos Exclusive License Agreements with Cedars-Sinai Medical Center (Cedars)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entered into four Exclusive License Agreements with Cedars, each of which grants the Company licensing rights with respect to certain patent rights owned by Cedars as follows:</w:t>
      </w:r>
    </w:p>
    <w:p>
      <w:pPr>
        <w:spacing w:after="0" w:line="159" w:lineRule="exact"/>
        <w:rPr>
          <w:sz w:val="20"/>
          <w:szCs w:val="20"/>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Methods of use of compounds that bind to RelA of NFkB;</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Composition and methods for treating fibrosis;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Compositions and methods for treating cancer and autoimmune diseases;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Method of generating activated T cells for cancer therapy.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jc w:val="both"/>
        <w:spacing w:after="0" w:line="285" w:lineRule="auto"/>
        <w:rPr>
          <w:sz w:val="20"/>
          <w:szCs w:val="20"/>
          <w:color w:val="auto"/>
        </w:rPr>
      </w:pPr>
      <w:r>
        <w:rPr>
          <w:rFonts w:ascii="Times New Roman" w:cs="Times New Roman" w:eastAsia="Times New Roman" w:hAnsi="Times New Roman"/>
          <w:sz w:val="16"/>
          <w:szCs w:val="16"/>
          <w:color w:val="auto"/>
        </w:rPr>
        <w:t>For each of the exclusive license agreement in items 1, 2 and 3, the Company was required to pay an initial license fee of $5, reimburse Cedars for patent protection costs ranging from approximately $9 to $61, pay an annual maintenance fee of $10, and pay royalties based on 3.75% of net sales and pay other non-royalty sublicense fees ranging from 5% to 35% of sales of products. In addition, for items 1, 2 and 3, the Company is required to pay Cedars based on the following milestones:</w:t>
      </w:r>
    </w:p>
    <w:p>
      <w:pPr>
        <w:spacing w:after="0" w:line="151" w:lineRule="exact"/>
        <w:rPr>
          <w:sz w:val="20"/>
          <w:szCs w:val="20"/>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upon the successful completing of Phase I clinical trial;</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 (for items 1 and 2) and $500 (for item 3) upon the successful completing of Phase II clinical trial for a product and receipt of Food and Drug Administration (“FDA”) approval for a Phase III clinical trial;</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 upon receipt of FDA approval of a new drug application or equivalent foreign regulatory approval in a non-United States major commercial market; and</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 upon cumulative net sales exceeding $5,000.</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exclusive license agreement in item 4, the Company is required to pay an initial license fee of $50 upon raising $500 in capital, pay an annual maintenance fee of $10, pay royalties based on 4.25% of patent product sales and 0.5% of other sales and pay other non-royalty sublicense fees ranging from 5% to 35%. In addition, the Company is required to pay Cedars based on the following milestones:</w:t>
      </w:r>
    </w:p>
    <w:p>
      <w:pPr>
        <w:spacing w:after="0" w:line="169" w:lineRule="exact"/>
        <w:rPr>
          <w:sz w:val="20"/>
          <w:szCs w:val="20"/>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upon the successful completing of Phase I clinical trial;</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 upon the successful completing of Phase II clinical trial and receipt of Food and Drug Administration (“FDA”) or equivalent regulatory agency in another jurisdiction approval for a Phase III clinical trial;</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 upon receipt of FDA approval of a new drug application;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 upon cumulative net sales exceeding $50,000.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no amounts were due under the Exclusive License Agreements between Cedars and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Enviro Therapeutics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On June 2, 2021, the Company’s then-wholly owned subsidiary, Enviro, entered into two Exclusive License Agreements with Cedars, which granted Enviro exclusive licensing rights (which include the right to sublicense) with respect to certain patent rights owned by Cedars, as follows:</w:t>
      </w:r>
    </w:p>
    <w:p>
      <w:pPr>
        <w:spacing w:after="0" w:line="159" w:lineRule="exact"/>
        <w:rPr>
          <w:sz w:val="20"/>
          <w:szCs w:val="20"/>
          <w:color w:val="auto"/>
        </w:rPr>
      </w:pPr>
    </w:p>
    <w:p>
      <w:pPr>
        <w:jc w:val="both"/>
        <w:ind w:left="600" w:hanging="297"/>
        <w:spacing w:after="0" w:line="25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p>
      <w:pPr>
        <w:jc w:val="both"/>
        <w:ind w:left="600" w:hanging="297"/>
        <w:spacing w:after="0" w:line="250"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Neil Bhowmick and others.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exchange for each of the licenses, pursuant to the terms of the Exclusive License Agreements, Enviro was required to pay an upfront license fee in the mid four-figures and low-five figures, respectively. Enviro was also required to reimburse Cedars for the costs in the mid-to-high six figures incurred in the prosecution of the patent rights subject to the Enviro-Cedars License Agreements prior to the date of execution of such agreements, and certain costs and fees then outstanding aggregating in the low-six figures owed by Kairos pursuant to the Kairos-Cedars License Agreements. Pursuant to the Enviro-Cedars License Agreements, Cedars was also to receive royalty payments of a mid-single-digit percentage of net sales of products associated with the licensed patent right and less than one percent of net sales of other products derived from Cedars’ technical information, with a minimum annual royalty fee in the low five-digits due beginning on the third anniversary of the effective date of the Enviro-Cedars License Agreements. To the extent Enviro derived non-royalty sublicensing revenues, a high single-digit to low double-digit percentage of such revenues would be due and payable to Cedars, with the actual percentage of such revenues dependent on the stage of FDA authorization at the time the sublicense revenue is generated.</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Enviro was also required to pay Cedars in connection with achieving the following Payment Milestones relating to products derived from the patent rights: successful completion of a Phase I clinical trial; successful completion of a Phase II clinical trial, receipt of FDA approval, and approval for a Phase III clinical trial; FDA approval of an NDA or BLA; cumulative net sales exceeding $50,000; and cumulative net sales exceeding $100,000. If all of these payment milestones are met among both of the Exclusive License Agreements, the required milestone payments would total in the mid-to-high seven-figures.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3" w:name="page24"/>
    <w:bookmarkEnd w:id="23"/>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Exclusive License Agreements, Enviro was obligated to meet the following Commercialization Milestones. Pursuant to the Enviro-Cedars License Agreement (Endoglin Antagonism), Enviro was obligated to (1) obtain an IND for a patent product within 1 year of the effective date of the agreement, (2) commence a Phase II trial within 2 years of the effective date of the agreement, and (3) submit an NDA or BLA to the FDA or equivalent regulatory agency in another jurisdiction within 7 years of the effective date of the agreement. Pursuant to the Enviro-Cedars License Agreement (Mitochondrial DNA), Enviro was obligated to (1) complete preclinical studies of a patent product within 2 years of the effective date of the agreement, (2) complete toxicology studies within 2.5 years of the effective date of the agreement, (3) obtain IND within 3 years of the effective date of the agreement, (4) begin a Phase I trial within 4 years of the effective date of the agreement, and (5) submit an NDA or BLA to the FDA or equivalent regulatory agency in another jurisdiction within 7 years of the effective date of the agreement. If the Commercialization Milestones are not met or extended, Cedars may convert the exclusive licenses into non-exclusive licenses or to a co-exclusive licenses or terminate the licenses.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Exclusive License Agreements will, unless sooner terminated, continue in effect on a country-by-country basis until the last of the patents covering the patent rights or future patent rights expires. Under the terms of the Enviro-Cedars License Agreements, unless waived by Cedars, the agreements would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Enviro fails to undertake commercially reasonable efforts to exploit the patent rights or future patent rights; (d) within 60 days of Cedars’ failure to cure any breach or default of a material obligation under the agreements; (e) within 90 days of Enviro’s failure to cure any breach or default of a material obligation under the agreements; or (f) upon mutual written agreement of the parties.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Novation Agreements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October 1, 2025, the Board of Directors approved the entry of Kairos and Enviro into a novation agreement (the “Cedars Novation Agreement”) with Cedars. The Cedars Novation Agreement was entered into on October 1, 2025, but effective as of April 17, 2025, for purposes of transferring the exclusive license of two patents from Enviro, as the original licensee, to Kairos, as the new licensee. As the new licensee of the two patents, Kairos accepted and assumed all obligations and liabilities that may arise under the Exclusive License Agreements from Enviro and Enviro is relieved of all of its liabilities and obligations under the license agreements.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addition, on October 1, 2025, the Board approved the Company’s entry into a novation agreement (the “Tracon Novation Agreement”) with Tracon Pharmaceuticals, Inc. (“Tracon”) and Enviro pursuant to which Enviro’s rights and obligations under the license and supply agreement between Tracon, Enviro and Kairos, originally dated May 21, 2021, as amended to date (the “Tracon License Agreement”), were transferred from Enviro to Kairos and Enviro was relieved of any further liabilities or obligations under the license and supply agreement. Under the Tracon License Agreement, Tracon had granted Enviro exclusive access to its TRC105 and CD105 technologies, which Kairos has now assumed pursuant to the Tracon Novation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Agreements with Lonza Sales AG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November 12, 2025, the Company entered into an amendment (the “Lonza Amendment”)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 total of $1,143 in consideration, which will be paid over time as each of the 13 stages of the Lonza Amendment are completed.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March 27, 2026, the Company entered into an additional statement of work to the sales agreement with Lonza pursuant to which the Company agreed to pay an additional amount of approximately $2,000, which will also be paid over time as each of the 13 stages of the Lonza Amendment are completed. As of March 31, 2026, Lonza’s testing and preparation of the ENV105 antibody had begun but had yet to be completed and the Company had yet to make any payments to Lonza. Subsequent to March 31, 2026, the Company made a payment of $160 to Lonza under the amended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Agreement with Celyn Therapeutics, Inc.</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March 2, 2026, the Company entered into a binding term sheet with Celyn Therapeutics, Inc., a privately held biotechnology company, regarding a proposed asset acquisition of CL-273, an investigational, reversible, wild type sparing pan EGFR small molecule inhibitor being developed by Eilean Therapeutics for EGFR mutant non-small cell lung cancer. Pursuant to the term sheet, the Company will receive 100% of the development, manufacturing, commercialization rights, patent prosecution and patent filing rights worldwide to CL-273 in exchange for upfront payment of 16.5% of the Company’s outstanding capital stock, with such stock to be issued in the form of Common Stock or convertible preferred stock, and milestone payments of (i) $15 million payable at NDA or BLA FDA, with such payment to be made in combination of cash and stock and (ii) 2% royalties from net revenue generated from sales in the U.S. for the life of the intellectual property. Closing is subject to satisfactory completion of due diligence and negotiation of a definitive acquisition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Funding Requirements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expect our expenses to increase substantially in connection with our ongoing research activities, particularly as we pursue the advancement of our product candidates through clinical trials. In addition, we expect to incur additional costs associated with operating as a public company. The timing and amount of our operating expenditures will depend on numerous variables, including: the initiation, progress, timing, costs and results of the clinical trials for our product candidates or any future product candidates we may develop; the initiation, progress, timing, costs and results of nonclinical studies for our product candidates or any future product candidates we may develop; our ability to maintain our relationships with key collaborators; 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 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the effect of competing technological and market developments; the costs of continuing to grow our business, including hiring key personnel and maintain or acquiring operating space; market acceptance of any approved product candidates, including product pricing, as well as product coverage and the adequacy of reimbursement by third-party payors; the cost of acquiring, licensing or investing in additional businesses, products, product candidates and technologies; the cost and timing of selecting, auditing and potentially validating a manufacturing site for commercial-scale manufacturing; the cost of establishing sales, marketing and distribution capabilities for any product candidates for which we may receive regulatory approval and that we determine to commercialize; and our need to implement additional internal systems and infrastructure, including financial and reporting systems.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expect that we will continue to require additional funding to complete the clinical development and commercialization of our product candidates, if we receive regulatory approval, and pursue in-licenses or acquisitions of other product candidates. If we receive regulatory approval for our product candidates, we expect to incur significant commercialization expenses related to product manufacturing, sales, marketing and distribution, depending on where we choose to commercialize ourselves.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the rights of our current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From time to time, we may have certain contingent liabilities that arise in the ordinary course of business. We evaluate the likelihood of an unfavorable outcome in legal or regulatory proceedings to which we are a party and record a loss contingency on an undiscounted basis when it is probable that a liability has been incurred and the amount of the loss can be reasonably estimated. These judgments are subjective and based on the status of such legal proceedings, the merits of our defenses, and consultation with legal counsel. Actual outcomes of these legal proceedings may differ materially from our estimates. We estimate accruals for legal expenses when incurred as of each balance sheet date based on the facts and circumstances known to us at that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three months ended March 31, 2026 and 2025, we did not have, and we do not currently have, any off-balance sheet arrangements (as defined under SEC rules).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a description of recently issued accounting standards that may have a material impact on our financial statements or will otherwise apply to our operations, please see Note 2 to our audited financial statements appearing elsewhere in this Quarterly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an “emerging growth company,” the Jumpstart Our Business Startups Act of 2012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this Item.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Evaluation of Disclosure Controls and Procedures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for timely decisions regarding required disclosure. Under the supervision and with the participation of our management, including our Chief Executive Officer and Chief Financial Officer, we conducted an evaluation of the effectiveness of our disclosure controls and procedures as of March 31, 2026. Based on this evaluation, our Chief Executive Officer and Chief Financial Officer concluded that our disclosure controls and procedures were not effective at a reasonable assurance level as of March 31, 2026.</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Status of Previously Disclosed Material Weakness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previously disclosed in our Annual Report on Form 10-K for the period ended December 31, 2025, we identified the below material weakness in our internal controls over financial reporting:</w:t>
      </w:r>
    </w:p>
    <w:p>
      <w:pPr>
        <w:spacing w:after="0" w:line="159" w:lineRule="exact"/>
        <w:rPr>
          <w:sz w:val="20"/>
          <w:szCs w:val="20"/>
          <w:color w:val="auto"/>
        </w:rPr>
      </w:pPr>
    </w:p>
    <w:p>
      <w:pPr>
        <w:jc w:val="both"/>
        <w:ind w:left="300" w:hanging="299"/>
        <w:spacing w:after="0" w:line="261"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our size and stage of development, segregation of all conflicting duties is not always possible or economically feasible. As of March 31, 2026, we continue to lack sufficient review procedures and segregation of duties such that proper review had not been performed by someone other than the preparer, including manual journal entries, and that process documentation is lacking for review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Changes in Internal Control over Financial Reporting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Rules 13a-15(f) or 15d-15(f) of the Exchange Act) that occurred during the period covered by this Quarterly Report that materially affected, or are reasonably likely to materially affect, our internal control over financial reporting. However, the Company will continue to monitor and work to address the underlying causes of material weaknesses and control deficiencies. Such material weaknesses and control deficiencies will not be fully remediated until the Company has concluded that our internal controls are operating effectively for a sufficient period of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 We maintain insurance policies in amounts and with the coverage and deductibles we believe are adequate, based on the nature and risks of our business, historical experience and industry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this item. You should carefully consider the factors discussed in “Part I, Item 1A. Risk Factors” in our Annual Report on Form 10-K for the year ended December 31, 2025, which could materially affect our business, financial condition or future results. We may be unable for many reasons, including those that are beyond our control, to implement our business strategy successfully. The occurrence of any single risk or any combination of risks could materially and adversely affect our business, financial condition, results of operations, cash flows and the trading price of our common stock. As of the date of this report there has been no material change in any of the risk factors described in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On September 16, 2024, our registration statement on Form S-1 registering our initial public offering of common stock (the “IPO”) was declared effective by the SEC. On September 17, 2024, the Company closed on the IPO of 1,550,000 shares of common stock at a price of $4.00 per share. The Company received gross proceeds of $6.2 million, before deducting underwriting discounts and commissions and offering expenses. Net proceeds for the offering were approximately $5.5 million.</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has been no material change in the use of proceeds from our IPO as described in our final prospectus filed with the SEC on September 17, 2024. To date, the Company has used all of the net proceeds from the IPO.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unregistered sales of equity securities made by the Company during the quarter ended March 31,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period ended March 31, 2026, none of our directors or executive officers adopted or terminated any “Rule 10b5-1 trading arrangement” or “non-Rule 10b5-1 trading arrangement” (as each item is defined Item 408(a) of Regulation S-K).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5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4"/>
                <w:szCs w:val="24"/>
                <w:color w:val="auto"/>
              </w:rPr>
            </w:pPr>
          </w:p>
        </w:tc>
        <w:tc>
          <w:tcPr>
            <w:tcW w:w="10220" w:type="dxa"/>
            <w:vAlign w:val="bottom"/>
            <w:tcBorders>
              <w:top w:val="single" w:sz="8" w:color="auto"/>
              <w:bottom w:val="single" w:sz="8" w:color="0000EE"/>
            </w:tcBorders>
            <w:gridSpan w:val="7"/>
          </w:tcPr>
          <w:p>
            <w:pPr>
              <w:spacing w:after="0"/>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Certificate of Incorporation of Kairos Pharma, Ltd. filed with the Secretary of State of the State of Delaware, dated May 10, 2023 (incorporated by</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7"/>
          </w:tcPr>
          <w:p>
            <w:pPr>
              <w:spacing w:after="0" w:line="182" w:lineRule="exact"/>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reference to Exhibit 3.5 to the Company’s Registration Statement on Form S-1, filed on August 16, 2024).</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Bylaws of Kairos Pharma, Ltd. (Delaware) (incorporated by reference to Exhibit 3.6 to the Company’s Registration Statement on Form S-1, filed on</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0000EE"/>
            </w:tcBorders>
            <w:gridSpan w:val="3"/>
          </w:tcPr>
          <w:p>
            <w:pPr>
              <w:spacing w:after="0" w:line="182" w:lineRule="exact"/>
              <w:rPr>
                <w:rFonts w:ascii="Times New Roman" w:cs="Times New Roman" w:eastAsia="Times New Roman" w:hAnsi="Times New Roman"/>
                <w:sz w:val="17"/>
                <w:szCs w:val="17"/>
                <w:color w:val="0000EE"/>
                <w:w w:val="97"/>
              </w:rPr>
            </w:pPr>
            <w:hyperlink r:id="rId47">
              <w:r>
                <w:rPr>
                  <w:rFonts w:ascii="Times New Roman" w:cs="Times New Roman" w:eastAsia="Times New Roman" w:hAnsi="Times New Roman"/>
                  <w:sz w:val="17"/>
                  <w:szCs w:val="17"/>
                  <w:color w:val="0000EE"/>
                  <w:w w:val="97"/>
                </w:rPr>
                <w:t>August 16, 2024).</w:t>
              </w:r>
            </w:hyperlink>
          </w:p>
        </w:tc>
        <w:tc>
          <w:tcPr>
            <w:tcW w:w="9000" w:type="dxa"/>
            <w:vAlign w:val="bottom"/>
            <w:gridSpan w:val="4"/>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w w:val="99"/>
              </w:rPr>
            </w:pPr>
            <w:hyperlink r:id="rId48">
              <w:r>
                <w:rPr>
                  <w:rFonts w:ascii="Times New Roman" w:cs="Times New Roman" w:eastAsia="Times New Roman" w:hAnsi="Times New Roman"/>
                  <w:sz w:val="17"/>
                  <w:szCs w:val="17"/>
                  <w:color w:val="0000EE"/>
                  <w:w w:val="99"/>
                </w:rPr>
                <w:t>Form of Representative’s Warrant (incorporated by reference to Exhibit 4.1 to the Company’s Registration Statement on Form S-1, filed on August 16,</w:t>
              </w:r>
            </w:hyperlink>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5"/>
              </w:rPr>
            </w:pPr>
            <w:hyperlink r:id="rId48">
              <w:r>
                <w:rPr>
                  <w:rFonts w:ascii="Times New Roman" w:cs="Times New Roman" w:eastAsia="Times New Roman" w:hAnsi="Times New Roman"/>
                  <w:sz w:val="17"/>
                  <w:szCs w:val="17"/>
                  <w:color w:val="0000EE"/>
                  <w:w w:val="95"/>
                </w:rPr>
                <w:t>2024)</w:t>
              </w:r>
            </w:hyperlink>
          </w:p>
        </w:tc>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5"/>
                <w:szCs w:val="15"/>
                <w:color w:val="auto"/>
              </w:rPr>
            </w:pPr>
          </w:p>
        </w:tc>
        <w:tc>
          <w:tcPr>
            <w:tcW w:w="8820" w:type="dxa"/>
            <w:vAlign w:val="bottom"/>
            <w:tcBorders>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7"/>
                <w:szCs w:val="17"/>
                <w:color w:val="0000EE"/>
                <w:w w:val="98"/>
              </w:rPr>
              <w:t>Pharmaceutical Development Services Agreement, dated May 11, 2026, between Kairos Pharma, Ltd. and Brammer Bio MA, LLC</w:t>
            </w:r>
          </w:p>
        </w:tc>
        <w:tc>
          <w:tcPr>
            <w:tcW w:w="1400" w:type="dxa"/>
            <w:vAlign w:val="bottom"/>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Principal Executive Officer Pursuant to Rules 13a-14(a) and 15d-14(a) under the Securities Exchange Act, as Adopted Pursuant to</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8"/>
              </w:rPr>
              <w:t>Section 302 of the Sarbanes-Oxley Act of 2002.</w:t>
            </w:r>
          </w:p>
        </w:tc>
        <w:tc>
          <w:tcPr>
            <w:tcW w:w="6980" w:type="dxa"/>
            <w:vAlign w:val="bottom"/>
            <w:gridSpan w:val="3"/>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Principal Financial Officer Pursuant to Rules 13a-14(a) and 15d-14(a) under the Securities Exchange Act, as Adopted Pursuant to</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8"/>
              </w:rPr>
              <w:t>Section 302 of the Sarbanes-Oxley Act of 2002.</w:t>
            </w:r>
          </w:p>
        </w:tc>
        <w:tc>
          <w:tcPr>
            <w:tcW w:w="6980" w:type="dxa"/>
            <w:vAlign w:val="bottom"/>
            <w:gridSpan w:val="3"/>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Principal Executive Officer Pursuant to 18 U.S.C. Section 1350, as Adopted Pursuant to Section 906 of the Sarbanes-Oxley Act of</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3"/>
              </w:rPr>
              <w:t>2002.</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w w:val="98"/>
              </w:rPr>
              <w:t>Certification of Principal Financial Officer Pursuant to 18 U.S.C. Section 1350, as Adopted Pursuant to Section 906 of the Sarbanes-Oxley Act of 2002.</w:t>
            </w:r>
          </w:p>
        </w:tc>
      </w:tr>
      <w:tr>
        <w:trPr>
          <w:trHeight w:val="203"/>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Instance Document-the instance document does not appear in the Interactive Data File as its XBRL tags are embedded within the Inline</w:t>
            </w:r>
          </w:p>
        </w:tc>
      </w:tr>
      <w:tr>
        <w:trPr>
          <w:trHeight w:val="21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XBRL document.</w:t>
            </w:r>
          </w:p>
        </w:tc>
      </w:tr>
      <w:tr>
        <w:trPr>
          <w:trHeight w:val="403"/>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403"/>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403"/>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403"/>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101.LAB*</w:t>
            </w: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403"/>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r>
      <w:tr>
        <w:trPr>
          <w:trHeight w:val="403"/>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 and contained in Exhibit 101).</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8" w:lineRule="exact"/>
        <w:rPr>
          <w:sz w:val="20"/>
          <w:szCs w:val="20"/>
          <w:color w:val="auto"/>
        </w:rPr>
      </w:pPr>
    </w:p>
    <w:p>
      <w:pPr>
        <w:ind w:firstLine="1"/>
        <w:spacing w:after="0" w:line="274" w:lineRule="auto"/>
        <w:tabs>
          <w:tab w:leader="none" w:pos="13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redacted pursuant to Item 601(b)(10)(iv) of Regulation S-K. The Company hereby agrees to furnish supplementally an unredacted copy of the exhibit to the SEC upon its request.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2026</w:t>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S. Yu</w:t>
      </w:r>
    </w:p>
    <w:p>
      <w:pPr>
        <w:spacing w:after="0" w:line="3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John S.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-121285</wp:posOffset>
            </wp:positionV>
            <wp:extent cx="3354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Douglas Samuelson</w:t>
      </w:r>
    </w:p>
    <w:p>
      <w:pPr>
        <w:spacing w:after="0" w:line="3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Douglas Samuelson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-121285</wp:posOffset>
            </wp:positionV>
            <wp:extent cx="3354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0" w:name="page31"/>
    <w:bookmarkEnd w:id="30"/>
    <w:p>
      <w:pPr>
        <w:ind w:left="9080"/>
        <w:spacing w:after="0"/>
        <w:rPr>
          <w:sz w:val="20"/>
          <w:szCs w:val="20"/>
          <w:color w:val="auto"/>
        </w:rPr>
      </w:pPr>
      <w:r>
        <w:rPr>
          <w:rFonts w:ascii="Times New Roman" w:cs="Times New Roman" w:eastAsia="Times New Roman" w:hAnsi="Times New Roman"/>
          <w:sz w:val="20"/>
          <w:szCs w:val="20"/>
          <w:b w:val="1"/>
          <w:bCs w:val="1"/>
          <w:color w:val="auto"/>
        </w:rPr>
        <w:t>Exhibit 10.1</w:t>
      </w:r>
    </w:p>
    <w:p>
      <w:pPr>
        <w:sectPr>
          <w:pgSz w:w="11900" w:h="16838" w:orient="portrait"/>
          <w:cols w:equalWidth="0" w:num="1">
            <w:col w:w="10120"/>
          </w:cols>
          <w:pgMar w:left="1440" w:top="337" w:right="339" w:bottom="1440"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800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00265"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S. Yu, certify that:</w:t>
      </w:r>
    </w:p>
    <w:p>
      <w:pPr>
        <w:spacing w:after="0" w:line="208" w:lineRule="exact"/>
        <w:rPr>
          <w:sz w:val="20"/>
          <w:szCs w:val="20"/>
          <w:color w:val="auto"/>
        </w:rPr>
      </w:pPr>
    </w:p>
    <w:p>
      <w:pPr>
        <w:ind w:left="160" w:hanging="159"/>
        <w:spacing w:after="0"/>
        <w:tabs>
          <w:tab w:leader="none" w:pos="1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Kairos Pharma, Ltd.;</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7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13a-15(r) and 15d-15(r)) for the registrant and have:</w:t>
      </w:r>
    </w:p>
    <w:p>
      <w:pPr>
        <w:spacing w:after="0" w:line="192" w:lineRule="exact"/>
        <w:rPr>
          <w:sz w:val="20"/>
          <w:szCs w:val="20"/>
          <w:color w:val="auto"/>
        </w:rPr>
      </w:pPr>
    </w:p>
    <w:p>
      <w:pPr>
        <w:jc w:val="both"/>
        <w:ind w:firstLine="1"/>
        <w:spacing w:after="0" w:line="261" w:lineRule="auto"/>
        <w:tabs>
          <w:tab w:leader="none" w:pos="23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4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25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firstLine="1"/>
        <w:spacing w:after="0" w:line="261" w:lineRule="auto"/>
        <w:tabs>
          <w:tab w:leader="none" w:pos="24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sz w:val="20"/>
          <w:szCs w:val="20"/>
          <w:color w:val="auto"/>
        </w:rPr>
      </w:pPr>
    </w:p>
    <w:p>
      <w:pPr>
        <w:ind w:firstLine="1"/>
        <w:spacing w:after="0" w:line="274" w:lineRule="auto"/>
        <w:tabs>
          <w:tab w:leader="none" w:pos="18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firstLine="1"/>
        <w:spacing w:after="0" w:line="274" w:lineRule="auto"/>
        <w:tabs>
          <w:tab w:leader="none" w:pos="2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S. Yu</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John S.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33547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276225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Samuelson, certify that:</w:t>
      </w:r>
    </w:p>
    <w:p>
      <w:pPr>
        <w:spacing w:after="0" w:line="208" w:lineRule="exact"/>
        <w:rPr>
          <w:sz w:val="20"/>
          <w:szCs w:val="20"/>
          <w:color w:val="auto"/>
        </w:rPr>
      </w:pPr>
    </w:p>
    <w:p>
      <w:pPr>
        <w:ind w:left="160" w:hanging="159"/>
        <w:spacing w:after="0"/>
        <w:tabs>
          <w:tab w:leader="none" w:pos="1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Kairos Pharma, Ltd.:</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7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180" w:hanging="179"/>
        <w:spacing w:after="0"/>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13a-15(r) and 15d-15(r) for the registrant and have:</w:t>
      </w:r>
    </w:p>
    <w:p>
      <w:pPr>
        <w:spacing w:after="0" w:line="192" w:lineRule="exact"/>
        <w:rPr>
          <w:sz w:val="20"/>
          <w:szCs w:val="20"/>
          <w:color w:val="auto"/>
        </w:rPr>
      </w:pPr>
    </w:p>
    <w:p>
      <w:pPr>
        <w:jc w:val="both"/>
        <w:ind w:firstLine="1"/>
        <w:spacing w:after="0" w:line="261" w:lineRule="auto"/>
        <w:tabs>
          <w:tab w:leader="none" w:pos="2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4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25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firstLine="1"/>
        <w:spacing w:after="0" w:line="261" w:lineRule="auto"/>
        <w:tabs>
          <w:tab w:leader="none" w:pos="24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sz w:val="20"/>
          <w:szCs w:val="20"/>
          <w:color w:val="auto"/>
        </w:rPr>
      </w:pPr>
    </w:p>
    <w:p>
      <w:pPr>
        <w:ind w:firstLine="1"/>
        <w:spacing w:after="0" w:line="274" w:lineRule="auto"/>
        <w:tabs>
          <w:tab w:leader="none" w:pos="18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firstLine="1"/>
        <w:spacing w:after="0" w:line="274" w:lineRule="auto"/>
        <w:tabs>
          <w:tab w:leader="none" w:pos="23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25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Douglas Samuelson</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Douglas Samuelson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33547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Quarterly Report of Kairos Pharma, Ltd. (the “Company”) on Form 10-Q pursuant to Rule 15d-2 under the Securities Exchange Act of 1934, as filed with the Securities and Exchange Commission on the date hereof (the “Report”), I, John S. Yu, Chief Executive Officer of the Company, certify, pursuant to 18 U.S.C. Section 1350, as adopted pursuant to Section 906 of the Sarbanes-Oxley Act of 2002, that:</w:t>
      </w:r>
    </w:p>
    <w:p>
      <w:pPr>
        <w:spacing w:after="0" w:line="169" w:lineRule="exact"/>
        <w:rPr>
          <w:sz w:val="20"/>
          <w:szCs w:val="20"/>
          <w:color w:val="auto"/>
        </w:rPr>
      </w:pPr>
    </w:p>
    <w:p>
      <w:pPr>
        <w:ind w:left="240" w:hanging="239"/>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right="1240" w:firstLine="1"/>
        <w:spacing w:after="0" w:line="492" w:lineRule="auto"/>
        <w:tabs>
          <w:tab w:leader="none" w:pos="23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May 13,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John S. Yu</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S.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5706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Quarterly Report of Kairos Pharma, Ltd. (the “Company”) on Form 10-Q pursuant to Rule 15d-2 under the Securities Exchange Act of 1934, as filed with the Securities and Exchange Commission on the date hereof (the “Report”), I, Douglas Samuelson, Chief Financial Officer of the Company, certify, pursuant to 18 U.S.C. Section 1350, as adopted pursuant to Section 906 of the Sarbanes-Oxley Act of 2002, that:</w:t>
      </w:r>
    </w:p>
    <w:p>
      <w:pPr>
        <w:spacing w:after="0" w:line="169" w:lineRule="exact"/>
        <w:rPr>
          <w:sz w:val="20"/>
          <w:szCs w:val="20"/>
          <w:color w:val="auto"/>
        </w:rPr>
      </w:pPr>
    </w:p>
    <w:p>
      <w:pPr>
        <w:ind w:left="240" w:hanging="239"/>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right="1260" w:firstLine="1"/>
        <w:spacing w:after="0" w:line="492" w:lineRule="auto"/>
        <w:tabs>
          <w:tab w:leader="none" w:pos="2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May 13,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Douglas Samuelson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Douglas Samuelson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5706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46" Type="http://schemas.openxmlformats.org/officeDocument/2006/relationships/hyperlink" Target="https://www.sec.gov/Archives/edgar/data/1962011/000149315223034915/ex3-5.htm" TargetMode="External"/><Relationship Id="rId47" Type="http://schemas.openxmlformats.org/officeDocument/2006/relationships/hyperlink" Target="https://www.sec.gov/Archives/edgar/data/1962011/000149315223034915/ex3-6.htm" TargetMode="External"/><Relationship Id="rId48" Type="http://schemas.openxmlformats.org/officeDocument/2006/relationships/hyperlink" Target="https://www.sec.gov/Archives/edgar/data/1962011/000149315224017318/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2026-05-13T16:36:39Z</dcterms:created>
  <dcterms:modified xsi:type="dcterms:W3CDTF">2026-05-13T16:36:39Z</dcterms:modified>
</cp:coreProperties>
</file>